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56A20" w14:paraId="53843D18" w14:textId="77777777">
        <w:tblPrEx>
          <w:tblCellMar>
            <w:top w:w="0" w:type="dxa"/>
            <w:bottom w:w="0" w:type="dxa"/>
          </w:tblCellMar>
        </w:tblPrEx>
        <w:trPr>
          <w:tblCellSpacing w:w="60" w:type="dxa"/>
        </w:trPr>
        <w:tc>
          <w:tcPr>
            <w:tcW w:w="1200" w:type="pct"/>
            <w:shd w:val="clear" w:color="auto" w:fill="E7F0F9"/>
          </w:tcPr>
          <w:p w14:paraId="0C902F75" w14:textId="77777777" w:rsidR="00A56A20" w:rsidRDefault="00000000">
            <w:pPr>
              <w:spacing w:after="0" w:line="240" w:lineRule="auto"/>
            </w:pPr>
            <w:r>
              <w:rPr>
                <w:b/>
              </w:rPr>
              <w:t>RKP broj</w:t>
            </w:r>
          </w:p>
        </w:tc>
        <w:tc>
          <w:tcPr>
            <w:tcW w:w="0" w:type="auto"/>
            <w:shd w:val="clear" w:color="auto" w:fill="E7F0F9"/>
          </w:tcPr>
          <w:p w14:paraId="1279537A" w14:textId="77777777" w:rsidR="00A56A20" w:rsidRDefault="00000000">
            <w:pPr>
              <w:spacing w:after="0" w:line="240" w:lineRule="auto"/>
            </w:pPr>
            <w:r>
              <w:t>8490</w:t>
            </w:r>
          </w:p>
        </w:tc>
      </w:tr>
      <w:tr w:rsidR="00A56A20" w14:paraId="76B740C1" w14:textId="77777777">
        <w:tblPrEx>
          <w:tblCellMar>
            <w:top w:w="0" w:type="dxa"/>
            <w:bottom w:w="0" w:type="dxa"/>
          </w:tblCellMar>
        </w:tblPrEx>
        <w:trPr>
          <w:tblCellSpacing w:w="60" w:type="dxa"/>
        </w:trPr>
        <w:tc>
          <w:tcPr>
            <w:tcW w:w="1200" w:type="pct"/>
            <w:shd w:val="clear" w:color="auto" w:fill="E7F0F9"/>
          </w:tcPr>
          <w:p w14:paraId="1328B064" w14:textId="77777777" w:rsidR="00A56A20" w:rsidRDefault="00000000">
            <w:pPr>
              <w:spacing w:after="0" w:line="240" w:lineRule="auto"/>
            </w:pPr>
            <w:r>
              <w:rPr>
                <w:b/>
              </w:rPr>
              <w:t>Naziv obveznika</w:t>
            </w:r>
          </w:p>
        </w:tc>
        <w:tc>
          <w:tcPr>
            <w:tcW w:w="0" w:type="auto"/>
            <w:shd w:val="clear" w:color="auto" w:fill="E7F0F9"/>
          </w:tcPr>
          <w:p w14:paraId="1B03AAAC" w14:textId="77777777" w:rsidR="00A56A20" w:rsidRDefault="00000000">
            <w:pPr>
              <w:spacing w:after="0" w:line="240" w:lineRule="auto"/>
            </w:pPr>
            <w:r>
              <w:t xml:space="preserve">OSNOVNA ŠKOLA ANTUN NEMČIĆ GOSTOVINSKI </w:t>
            </w:r>
          </w:p>
        </w:tc>
      </w:tr>
      <w:tr w:rsidR="00A56A20" w14:paraId="15756433" w14:textId="77777777">
        <w:tblPrEx>
          <w:tblCellMar>
            <w:top w:w="0" w:type="dxa"/>
            <w:bottom w:w="0" w:type="dxa"/>
          </w:tblCellMar>
        </w:tblPrEx>
        <w:trPr>
          <w:tblCellSpacing w:w="60" w:type="dxa"/>
        </w:trPr>
        <w:tc>
          <w:tcPr>
            <w:tcW w:w="1200" w:type="pct"/>
            <w:shd w:val="clear" w:color="auto" w:fill="E7F0F9"/>
          </w:tcPr>
          <w:p w14:paraId="6F3C15C2" w14:textId="77777777" w:rsidR="00A56A20" w:rsidRDefault="00000000">
            <w:pPr>
              <w:spacing w:after="0" w:line="240" w:lineRule="auto"/>
            </w:pPr>
            <w:r>
              <w:rPr>
                <w:b/>
              </w:rPr>
              <w:t>Razina</w:t>
            </w:r>
          </w:p>
        </w:tc>
        <w:tc>
          <w:tcPr>
            <w:tcW w:w="0" w:type="auto"/>
            <w:shd w:val="clear" w:color="auto" w:fill="E7F0F9"/>
          </w:tcPr>
          <w:p w14:paraId="6F1BB82C" w14:textId="77777777" w:rsidR="00A56A20" w:rsidRDefault="00000000">
            <w:pPr>
              <w:spacing w:after="0" w:line="240" w:lineRule="auto"/>
            </w:pPr>
            <w:r>
              <w:t>31</w:t>
            </w:r>
          </w:p>
        </w:tc>
      </w:tr>
    </w:tbl>
    <w:p w14:paraId="5391C7E0" w14:textId="77777777" w:rsidR="00A56A20" w:rsidRDefault="00000000">
      <w:r>
        <w:br/>
      </w:r>
    </w:p>
    <w:p w14:paraId="1AADC3EE" w14:textId="77777777" w:rsidR="00A56A20" w:rsidRDefault="00000000">
      <w:pPr>
        <w:spacing w:line="240" w:lineRule="auto"/>
        <w:jc w:val="center"/>
      </w:pPr>
      <w:r>
        <w:rPr>
          <w:b/>
          <w:sz w:val="28"/>
        </w:rPr>
        <w:t>BILJEŠKE UZ FINANCIJSKE IZVJEŠTAJE</w:t>
      </w:r>
    </w:p>
    <w:p w14:paraId="174235FD" w14:textId="77777777" w:rsidR="00A56A20" w:rsidRDefault="00000000">
      <w:pPr>
        <w:spacing w:line="240" w:lineRule="auto"/>
        <w:jc w:val="center"/>
      </w:pPr>
      <w:r>
        <w:rPr>
          <w:b/>
          <w:sz w:val="28"/>
        </w:rPr>
        <w:t>ZA RAZDOBLJE</w:t>
      </w:r>
    </w:p>
    <w:p w14:paraId="621DEB0C" w14:textId="77777777" w:rsidR="00A56A20" w:rsidRDefault="00000000">
      <w:pPr>
        <w:spacing w:line="240" w:lineRule="auto"/>
        <w:jc w:val="center"/>
      </w:pPr>
      <w:r>
        <w:rPr>
          <w:b/>
          <w:sz w:val="28"/>
        </w:rPr>
        <w:t>I - III 2026.</w:t>
      </w:r>
    </w:p>
    <w:p w14:paraId="30CF17C8" w14:textId="77777777" w:rsidR="00A56A20" w:rsidRDefault="00A56A20"/>
    <w:p w14:paraId="13D02721" w14:textId="77777777" w:rsidR="00A56A20" w:rsidRDefault="00000000">
      <w:pPr>
        <w:keepNext/>
        <w:spacing w:line="240" w:lineRule="auto"/>
        <w:jc w:val="center"/>
      </w:pPr>
      <w:r>
        <w:rPr>
          <w:b/>
          <w:sz w:val="28"/>
        </w:rPr>
        <w:t>Izvještaj o prihodima i rashodima, primicima i izdacima</w:t>
      </w:r>
    </w:p>
    <w:p w14:paraId="3379DDCD" w14:textId="77777777" w:rsidR="00A56A2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5A93C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3EDFE1"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1FB5D9"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00A05"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DD208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35DC85"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9AF5C" w14:textId="77777777" w:rsidR="00A56A20" w:rsidRDefault="00000000">
            <w:pPr>
              <w:keepNext/>
              <w:keepLines/>
              <w:spacing w:after="0" w:line="240" w:lineRule="auto"/>
              <w:jc w:val="center"/>
            </w:pPr>
            <w:r>
              <w:rPr>
                <w:b/>
                <w:sz w:val="18"/>
              </w:rPr>
              <w:t>Indeks (%)</w:t>
            </w:r>
          </w:p>
        </w:tc>
      </w:tr>
      <w:tr w:rsidR="00A56A20" w14:paraId="5B255E85" w14:textId="77777777">
        <w:tblPrEx>
          <w:tblCellMar>
            <w:top w:w="0" w:type="dxa"/>
            <w:bottom w:w="0" w:type="dxa"/>
          </w:tblCellMar>
        </w:tblPrEx>
        <w:trPr>
          <w:cantSplit/>
          <w:trHeight w:val="560"/>
        </w:trPr>
        <w:tc>
          <w:tcPr>
            <w:tcW w:w="700" w:type="dxa"/>
            <w:tcMar>
              <w:top w:w="0" w:type="dxa"/>
              <w:bottom w:w="0" w:type="dxa"/>
            </w:tcMar>
            <w:vAlign w:val="center"/>
          </w:tcPr>
          <w:p w14:paraId="68820F47" w14:textId="77777777" w:rsidR="00A56A20" w:rsidRDefault="00000000">
            <w:pPr>
              <w:keepNext/>
              <w:keepLines/>
              <w:spacing w:after="0" w:line="240" w:lineRule="auto"/>
            </w:pPr>
            <w:r>
              <w:rPr>
                <w:sz w:val="18"/>
              </w:rPr>
              <w:t>6</w:t>
            </w:r>
          </w:p>
        </w:tc>
        <w:tc>
          <w:tcPr>
            <w:tcW w:w="3180" w:type="dxa"/>
            <w:tcMar>
              <w:top w:w="0" w:type="dxa"/>
              <w:bottom w:w="0" w:type="dxa"/>
            </w:tcMar>
            <w:vAlign w:val="center"/>
          </w:tcPr>
          <w:p w14:paraId="6090F367" w14:textId="77777777" w:rsidR="00A56A2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3D6A3BD" w14:textId="77777777" w:rsidR="00A56A20" w:rsidRDefault="00000000">
            <w:pPr>
              <w:keepNext/>
              <w:keepLines/>
              <w:spacing w:after="0" w:line="240" w:lineRule="auto"/>
            </w:pPr>
            <w:r>
              <w:rPr>
                <w:sz w:val="18"/>
              </w:rPr>
              <w:t>6</w:t>
            </w:r>
          </w:p>
        </w:tc>
        <w:tc>
          <w:tcPr>
            <w:tcW w:w="1860" w:type="dxa"/>
            <w:tcMar>
              <w:top w:w="0" w:type="dxa"/>
              <w:bottom w:w="0" w:type="dxa"/>
            </w:tcMar>
            <w:vAlign w:val="center"/>
          </w:tcPr>
          <w:p w14:paraId="4C546406" w14:textId="77777777" w:rsidR="00A56A20" w:rsidRDefault="00000000">
            <w:pPr>
              <w:keepNext/>
              <w:keepLines/>
              <w:spacing w:after="0" w:line="240" w:lineRule="auto"/>
              <w:jc w:val="right"/>
            </w:pPr>
            <w:r>
              <w:rPr>
                <w:sz w:val="18"/>
              </w:rPr>
              <w:t>850.572,14</w:t>
            </w:r>
          </w:p>
        </w:tc>
        <w:tc>
          <w:tcPr>
            <w:tcW w:w="1860" w:type="dxa"/>
            <w:tcMar>
              <w:top w:w="0" w:type="dxa"/>
              <w:bottom w:w="0" w:type="dxa"/>
            </w:tcMar>
            <w:vAlign w:val="center"/>
          </w:tcPr>
          <w:p w14:paraId="5C8E1644" w14:textId="77777777" w:rsidR="00A56A20" w:rsidRDefault="00000000">
            <w:pPr>
              <w:keepNext/>
              <w:keepLines/>
              <w:spacing w:after="0" w:line="240" w:lineRule="auto"/>
              <w:jc w:val="right"/>
            </w:pPr>
            <w:r>
              <w:rPr>
                <w:sz w:val="18"/>
              </w:rPr>
              <w:t>809.524,46</w:t>
            </w:r>
          </w:p>
        </w:tc>
        <w:tc>
          <w:tcPr>
            <w:tcW w:w="700" w:type="dxa"/>
            <w:tcMar>
              <w:top w:w="0" w:type="dxa"/>
              <w:bottom w:w="0" w:type="dxa"/>
            </w:tcMar>
            <w:vAlign w:val="center"/>
          </w:tcPr>
          <w:p w14:paraId="51F9119C" w14:textId="77777777" w:rsidR="00A56A20" w:rsidRDefault="00000000">
            <w:pPr>
              <w:keepNext/>
              <w:keepLines/>
              <w:spacing w:after="0" w:line="240" w:lineRule="auto"/>
              <w:jc w:val="right"/>
            </w:pPr>
            <w:r>
              <w:rPr>
                <w:sz w:val="18"/>
              </w:rPr>
              <w:t>95,2</w:t>
            </w:r>
          </w:p>
        </w:tc>
      </w:tr>
      <w:tr w:rsidR="00A56A20" w14:paraId="6C1FC91E" w14:textId="77777777">
        <w:tblPrEx>
          <w:tblCellMar>
            <w:top w:w="0" w:type="dxa"/>
            <w:bottom w:w="0" w:type="dxa"/>
          </w:tblCellMar>
        </w:tblPrEx>
        <w:trPr>
          <w:cantSplit/>
          <w:trHeight w:val="560"/>
        </w:trPr>
        <w:tc>
          <w:tcPr>
            <w:tcW w:w="700" w:type="dxa"/>
            <w:tcMar>
              <w:top w:w="0" w:type="dxa"/>
              <w:bottom w:w="0" w:type="dxa"/>
            </w:tcMar>
            <w:vAlign w:val="center"/>
          </w:tcPr>
          <w:p w14:paraId="43A7EDC8" w14:textId="77777777" w:rsidR="00A56A20" w:rsidRDefault="00000000">
            <w:pPr>
              <w:keepNext/>
              <w:keepLines/>
              <w:spacing w:after="0" w:line="240" w:lineRule="auto"/>
            </w:pPr>
            <w:r>
              <w:rPr>
                <w:sz w:val="18"/>
              </w:rPr>
              <w:t>3</w:t>
            </w:r>
          </w:p>
        </w:tc>
        <w:tc>
          <w:tcPr>
            <w:tcW w:w="3180" w:type="dxa"/>
            <w:tcMar>
              <w:top w:w="0" w:type="dxa"/>
              <w:bottom w:w="0" w:type="dxa"/>
            </w:tcMar>
            <w:vAlign w:val="center"/>
          </w:tcPr>
          <w:p w14:paraId="1C59E6DA" w14:textId="77777777" w:rsidR="00A56A2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FFA00D4" w14:textId="77777777" w:rsidR="00A56A20" w:rsidRDefault="00000000">
            <w:pPr>
              <w:keepNext/>
              <w:keepLines/>
              <w:spacing w:after="0" w:line="240" w:lineRule="auto"/>
            </w:pPr>
            <w:r>
              <w:rPr>
                <w:sz w:val="18"/>
              </w:rPr>
              <w:t>3</w:t>
            </w:r>
          </w:p>
        </w:tc>
        <w:tc>
          <w:tcPr>
            <w:tcW w:w="1860" w:type="dxa"/>
            <w:tcMar>
              <w:top w:w="0" w:type="dxa"/>
              <w:bottom w:w="0" w:type="dxa"/>
            </w:tcMar>
            <w:vAlign w:val="center"/>
          </w:tcPr>
          <w:p w14:paraId="74FE915D" w14:textId="77777777" w:rsidR="00A56A20" w:rsidRDefault="00000000">
            <w:pPr>
              <w:keepNext/>
              <w:keepLines/>
              <w:spacing w:after="0" w:line="240" w:lineRule="auto"/>
              <w:jc w:val="right"/>
            </w:pPr>
            <w:r>
              <w:rPr>
                <w:sz w:val="18"/>
              </w:rPr>
              <w:t>956.595,63</w:t>
            </w:r>
          </w:p>
        </w:tc>
        <w:tc>
          <w:tcPr>
            <w:tcW w:w="1860" w:type="dxa"/>
            <w:tcMar>
              <w:top w:w="0" w:type="dxa"/>
              <w:bottom w:w="0" w:type="dxa"/>
            </w:tcMar>
            <w:vAlign w:val="center"/>
          </w:tcPr>
          <w:p w14:paraId="651BA082" w14:textId="77777777" w:rsidR="00A56A20" w:rsidRDefault="00000000">
            <w:pPr>
              <w:keepNext/>
              <w:keepLines/>
              <w:spacing w:after="0" w:line="240" w:lineRule="auto"/>
              <w:jc w:val="right"/>
            </w:pPr>
            <w:r>
              <w:rPr>
                <w:sz w:val="18"/>
              </w:rPr>
              <w:t>813.977,88</w:t>
            </w:r>
          </w:p>
        </w:tc>
        <w:tc>
          <w:tcPr>
            <w:tcW w:w="700" w:type="dxa"/>
            <w:tcMar>
              <w:top w:w="0" w:type="dxa"/>
              <w:bottom w:w="0" w:type="dxa"/>
            </w:tcMar>
            <w:vAlign w:val="center"/>
          </w:tcPr>
          <w:p w14:paraId="6FE981A7" w14:textId="77777777" w:rsidR="00A56A20" w:rsidRDefault="00000000">
            <w:pPr>
              <w:keepNext/>
              <w:keepLines/>
              <w:spacing w:after="0" w:line="240" w:lineRule="auto"/>
              <w:jc w:val="right"/>
            </w:pPr>
            <w:r>
              <w:rPr>
                <w:sz w:val="18"/>
              </w:rPr>
              <w:t>85,1</w:t>
            </w:r>
          </w:p>
        </w:tc>
      </w:tr>
      <w:tr w:rsidR="00A56A20" w14:paraId="48134D71" w14:textId="77777777">
        <w:tblPrEx>
          <w:tblCellMar>
            <w:top w:w="0" w:type="dxa"/>
            <w:bottom w:w="0" w:type="dxa"/>
          </w:tblCellMar>
        </w:tblPrEx>
        <w:trPr>
          <w:cantSplit/>
          <w:trHeight w:val="560"/>
        </w:trPr>
        <w:tc>
          <w:tcPr>
            <w:tcW w:w="700" w:type="dxa"/>
            <w:tcMar>
              <w:top w:w="0" w:type="dxa"/>
              <w:bottom w:w="0" w:type="dxa"/>
            </w:tcMar>
            <w:vAlign w:val="center"/>
          </w:tcPr>
          <w:p w14:paraId="1A738201" w14:textId="77777777" w:rsidR="00A56A20" w:rsidRDefault="00A56A20">
            <w:pPr>
              <w:keepNext/>
              <w:keepLines/>
              <w:spacing w:after="0" w:line="240" w:lineRule="auto"/>
            </w:pPr>
          </w:p>
        </w:tc>
        <w:tc>
          <w:tcPr>
            <w:tcW w:w="3180" w:type="dxa"/>
            <w:tcMar>
              <w:top w:w="0" w:type="dxa"/>
              <w:bottom w:w="0" w:type="dxa"/>
            </w:tcMar>
            <w:vAlign w:val="center"/>
          </w:tcPr>
          <w:p w14:paraId="5C4F2ED0" w14:textId="77777777" w:rsidR="00A56A20"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4C3C238" w14:textId="77777777" w:rsidR="00A56A20" w:rsidRDefault="00000000">
            <w:pPr>
              <w:keepNext/>
              <w:keepLines/>
              <w:spacing w:after="0" w:line="240" w:lineRule="auto"/>
            </w:pPr>
            <w:r>
              <w:rPr>
                <w:b/>
                <w:sz w:val="18"/>
              </w:rPr>
              <w:t>Y001</w:t>
            </w:r>
          </w:p>
        </w:tc>
        <w:tc>
          <w:tcPr>
            <w:tcW w:w="1860" w:type="dxa"/>
            <w:tcMar>
              <w:top w:w="0" w:type="dxa"/>
              <w:bottom w:w="0" w:type="dxa"/>
            </w:tcMar>
            <w:vAlign w:val="center"/>
          </w:tcPr>
          <w:p w14:paraId="44FEC452" w14:textId="77777777" w:rsidR="00A56A20" w:rsidRDefault="00000000">
            <w:pPr>
              <w:keepNext/>
              <w:keepLines/>
              <w:spacing w:after="0" w:line="240" w:lineRule="auto"/>
              <w:jc w:val="right"/>
            </w:pPr>
            <w:r>
              <w:rPr>
                <w:b/>
                <w:sz w:val="18"/>
              </w:rPr>
              <w:t>106.023,49</w:t>
            </w:r>
          </w:p>
        </w:tc>
        <w:tc>
          <w:tcPr>
            <w:tcW w:w="1860" w:type="dxa"/>
            <w:tcMar>
              <w:top w:w="0" w:type="dxa"/>
              <w:bottom w:w="0" w:type="dxa"/>
            </w:tcMar>
            <w:vAlign w:val="center"/>
          </w:tcPr>
          <w:p w14:paraId="7CBE5FCB" w14:textId="77777777" w:rsidR="00A56A20" w:rsidRDefault="00000000">
            <w:pPr>
              <w:keepNext/>
              <w:keepLines/>
              <w:spacing w:after="0" w:line="240" w:lineRule="auto"/>
              <w:jc w:val="right"/>
            </w:pPr>
            <w:r>
              <w:rPr>
                <w:b/>
                <w:sz w:val="18"/>
              </w:rPr>
              <w:t>4.453,42</w:t>
            </w:r>
          </w:p>
        </w:tc>
        <w:tc>
          <w:tcPr>
            <w:tcW w:w="700" w:type="dxa"/>
            <w:tcMar>
              <w:top w:w="0" w:type="dxa"/>
              <w:bottom w:w="0" w:type="dxa"/>
            </w:tcMar>
            <w:vAlign w:val="center"/>
          </w:tcPr>
          <w:p w14:paraId="2E6DDF11" w14:textId="77777777" w:rsidR="00A56A20" w:rsidRDefault="00000000">
            <w:pPr>
              <w:keepNext/>
              <w:keepLines/>
              <w:spacing w:after="0" w:line="240" w:lineRule="auto"/>
              <w:jc w:val="right"/>
            </w:pPr>
            <w:r>
              <w:rPr>
                <w:b/>
                <w:sz w:val="18"/>
              </w:rPr>
              <w:t>4,2</w:t>
            </w:r>
          </w:p>
        </w:tc>
      </w:tr>
      <w:tr w:rsidR="00A56A20" w14:paraId="00677309" w14:textId="77777777">
        <w:tblPrEx>
          <w:tblCellMar>
            <w:top w:w="0" w:type="dxa"/>
            <w:bottom w:w="0" w:type="dxa"/>
          </w:tblCellMar>
        </w:tblPrEx>
        <w:trPr>
          <w:cantSplit/>
          <w:trHeight w:val="560"/>
        </w:trPr>
        <w:tc>
          <w:tcPr>
            <w:tcW w:w="700" w:type="dxa"/>
            <w:tcMar>
              <w:top w:w="0" w:type="dxa"/>
              <w:bottom w:w="0" w:type="dxa"/>
            </w:tcMar>
            <w:vAlign w:val="center"/>
          </w:tcPr>
          <w:p w14:paraId="278EBFB8" w14:textId="77777777" w:rsidR="00A56A20" w:rsidRDefault="00000000">
            <w:pPr>
              <w:keepNext/>
              <w:keepLines/>
              <w:spacing w:after="0" w:line="240" w:lineRule="auto"/>
            </w:pPr>
            <w:r>
              <w:rPr>
                <w:sz w:val="18"/>
              </w:rPr>
              <w:t>7</w:t>
            </w:r>
          </w:p>
        </w:tc>
        <w:tc>
          <w:tcPr>
            <w:tcW w:w="3180" w:type="dxa"/>
            <w:tcMar>
              <w:top w:w="0" w:type="dxa"/>
              <w:bottom w:w="0" w:type="dxa"/>
            </w:tcMar>
            <w:vAlign w:val="center"/>
          </w:tcPr>
          <w:p w14:paraId="2A5DBD41" w14:textId="77777777" w:rsidR="00A56A2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9321E0F" w14:textId="77777777" w:rsidR="00A56A20" w:rsidRDefault="00000000">
            <w:pPr>
              <w:keepNext/>
              <w:keepLines/>
              <w:spacing w:after="0" w:line="240" w:lineRule="auto"/>
            </w:pPr>
            <w:r>
              <w:rPr>
                <w:sz w:val="18"/>
              </w:rPr>
              <w:t>7</w:t>
            </w:r>
          </w:p>
        </w:tc>
        <w:tc>
          <w:tcPr>
            <w:tcW w:w="1860" w:type="dxa"/>
            <w:tcMar>
              <w:top w:w="0" w:type="dxa"/>
              <w:bottom w:w="0" w:type="dxa"/>
            </w:tcMar>
            <w:vAlign w:val="center"/>
          </w:tcPr>
          <w:p w14:paraId="42B80F2C" w14:textId="77777777" w:rsidR="00A56A20" w:rsidRDefault="00000000">
            <w:pPr>
              <w:keepNext/>
              <w:keepLines/>
              <w:spacing w:after="0" w:line="240" w:lineRule="auto"/>
              <w:jc w:val="right"/>
            </w:pPr>
            <w:r>
              <w:rPr>
                <w:sz w:val="18"/>
              </w:rPr>
              <w:t>0,00</w:t>
            </w:r>
          </w:p>
        </w:tc>
        <w:tc>
          <w:tcPr>
            <w:tcW w:w="1860" w:type="dxa"/>
            <w:tcMar>
              <w:top w:w="0" w:type="dxa"/>
              <w:bottom w:w="0" w:type="dxa"/>
            </w:tcMar>
            <w:vAlign w:val="center"/>
          </w:tcPr>
          <w:p w14:paraId="2A2AF024" w14:textId="77777777" w:rsidR="00A56A20" w:rsidRDefault="00000000">
            <w:pPr>
              <w:keepNext/>
              <w:keepLines/>
              <w:spacing w:after="0" w:line="240" w:lineRule="auto"/>
              <w:jc w:val="right"/>
            </w:pPr>
            <w:r>
              <w:rPr>
                <w:sz w:val="18"/>
              </w:rPr>
              <w:t>0,00</w:t>
            </w:r>
          </w:p>
        </w:tc>
        <w:tc>
          <w:tcPr>
            <w:tcW w:w="700" w:type="dxa"/>
            <w:tcMar>
              <w:top w:w="0" w:type="dxa"/>
              <w:bottom w:w="0" w:type="dxa"/>
            </w:tcMar>
            <w:vAlign w:val="center"/>
          </w:tcPr>
          <w:p w14:paraId="4C4B50CC" w14:textId="77777777" w:rsidR="00A56A20" w:rsidRDefault="00000000">
            <w:pPr>
              <w:keepNext/>
              <w:keepLines/>
              <w:spacing w:after="0" w:line="240" w:lineRule="auto"/>
              <w:jc w:val="right"/>
            </w:pPr>
            <w:r>
              <w:rPr>
                <w:sz w:val="18"/>
              </w:rPr>
              <w:t>-</w:t>
            </w:r>
          </w:p>
        </w:tc>
      </w:tr>
      <w:tr w:rsidR="00A56A20" w14:paraId="4A857A56" w14:textId="77777777">
        <w:tblPrEx>
          <w:tblCellMar>
            <w:top w:w="0" w:type="dxa"/>
            <w:bottom w:w="0" w:type="dxa"/>
          </w:tblCellMar>
        </w:tblPrEx>
        <w:trPr>
          <w:cantSplit/>
          <w:trHeight w:val="560"/>
        </w:trPr>
        <w:tc>
          <w:tcPr>
            <w:tcW w:w="700" w:type="dxa"/>
            <w:tcMar>
              <w:top w:w="0" w:type="dxa"/>
              <w:bottom w:w="0" w:type="dxa"/>
            </w:tcMar>
            <w:vAlign w:val="center"/>
          </w:tcPr>
          <w:p w14:paraId="1BB4DA57" w14:textId="77777777" w:rsidR="00A56A20" w:rsidRDefault="00000000">
            <w:pPr>
              <w:keepNext/>
              <w:keepLines/>
              <w:spacing w:after="0" w:line="240" w:lineRule="auto"/>
            </w:pPr>
            <w:r>
              <w:rPr>
                <w:sz w:val="18"/>
              </w:rPr>
              <w:t>4</w:t>
            </w:r>
          </w:p>
        </w:tc>
        <w:tc>
          <w:tcPr>
            <w:tcW w:w="3180" w:type="dxa"/>
            <w:tcMar>
              <w:top w:w="0" w:type="dxa"/>
              <w:bottom w:w="0" w:type="dxa"/>
            </w:tcMar>
            <w:vAlign w:val="center"/>
          </w:tcPr>
          <w:p w14:paraId="04290CAF" w14:textId="77777777" w:rsidR="00A56A2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5D8459B" w14:textId="77777777" w:rsidR="00A56A20" w:rsidRDefault="00000000">
            <w:pPr>
              <w:keepNext/>
              <w:keepLines/>
              <w:spacing w:after="0" w:line="240" w:lineRule="auto"/>
            </w:pPr>
            <w:r>
              <w:rPr>
                <w:sz w:val="18"/>
              </w:rPr>
              <w:t>4</w:t>
            </w:r>
          </w:p>
        </w:tc>
        <w:tc>
          <w:tcPr>
            <w:tcW w:w="1860" w:type="dxa"/>
            <w:tcMar>
              <w:top w:w="0" w:type="dxa"/>
              <w:bottom w:w="0" w:type="dxa"/>
            </w:tcMar>
            <w:vAlign w:val="center"/>
          </w:tcPr>
          <w:p w14:paraId="44F30F58" w14:textId="77777777" w:rsidR="00A56A20" w:rsidRDefault="00000000">
            <w:pPr>
              <w:keepNext/>
              <w:keepLines/>
              <w:spacing w:after="0" w:line="240" w:lineRule="auto"/>
              <w:jc w:val="right"/>
            </w:pPr>
            <w:r>
              <w:rPr>
                <w:sz w:val="18"/>
              </w:rPr>
              <w:t>898,00</w:t>
            </w:r>
          </w:p>
        </w:tc>
        <w:tc>
          <w:tcPr>
            <w:tcW w:w="1860" w:type="dxa"/>
            <w:tcMar>
              <w:top w:w="0" w:type="dxa"/>
              <w:bottom w:w="0" w:type="dxa"/>
            </w:tcMar>
            <w:vAlign w:val="center"/>
          </w:tcPr>
          <w:p w14:paraId="3BA07A1C" w14:textId="77777777" w:rsidR="00A56A20" w:rsidRDefault="00000000">
            <w:pPr>
              <w:keepNext/>
              <w:keepLines/>
              <w:spacing w:after="0" w:line="240" w:lineRule="auto"/>
              <w:jc w:val="right"/>
            </w:pPr>
            <w:r>
              <w:rPr>
                <w:sz w:val="18"/>
              </w:rPr>
              <w:t>2.575,25</w:t>
            </w:r>
          </w:p>
        </w:tc>
        <w:tc>
          <w:tcPr>
            <w:tcW w:w="700" w:type="dxa"/>
            <w:tcMar>
              <w:top w:w="0" w:type="dxa"/>
              <w:bottom w:w="0" w:type="dxa"/>
            </w:tcMar>
            <w:vAlign w:val="center"/>
          </w:tcPr>
          <w:p w14:paraId="16796788" w14:textId="77777777" w:rsidR="00A56A20" w:rsidRDefault="00000000">
            <w:pPr>
              <w:keepNext/>
              <w:keepLines/>
              <w:spacing w:after="0" w:line="240" w:lineRule="auto"/>
              <w:jc w:val="right"/>
            </w:pPr>
            <w:r>
              <w:rPr>
                <w:sz w:val="18"/>
              </w:rPr>
              <w:t>286,8</w:t>
            </w:r>
          </w:p>
        </w:tc>
      </w:tr>
      <w:tr w:rsidR="00A56A20" w14:paraId="20734402" w14:textId="77777777">
        <w:tblPrEx>
          <w:tblCellMar>
            <w:top w:w="0" w:type="dxa"/>
            <w:bottom w:w="0" w:type="dxa"/>
          </w:tblCellMar>
        </w:tblPrEx>
        <w:trPr>
          <w:cantSplit/>
          <w:trHeight w:val="560"/>
        </w:trPr>
        <w:tc>
          <w:tcPr>
            <w:tcW w:w="700" w:type="dxa"/>
            <w:tcMar>
              <w:top w:w="0" w:type="dxa"/>
              <w:bottom w:w="0" w:type="dxa"/>
            </w:tcMar>
            <w:vAlign w:val="center"/>
          </w:tcPr>
          <w:p w14:paraId="7DB31C57" w14:textId="77777777" w:rsidR="00A56A20" w:rsidRDefault="00A56A20">
            <w:pPr>
              <w:keepNext/>
              <w:keepLines/>
              <w:spacing w:after="0" w:line="240" w:lineRule="auto"/>
            </w:pPr>
          </w:p>
        </w:tc>
        <w:tc>
          <w:tcPr>
            <w:tcW w:w="3180" w:type="dxa"/>
            <w:tcMar>
              <w:top w:w="0" w:type="dxa"/>
              <w:bottom w:w="0" w:type="dxa"/>
            </w:tcMar>
            <w:vAlign w:val="center"/>
          </w:tcPr>
          <w:p w14:paraId="5B533369" w14:textId="77777777" w:rsidR="00A56A2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1E81C16" w14:textId="77777777" w:rsidR="00A56A20" w:rsidRDefault="00000000">
            <w:pPr>
              <w:keepNext/>
              <w:keepLines/>
              <w:spacing w:after="0" w:line="240" w:lineRule="auto"/>
            </w:pPr>
            <w:r>
              <w:rPr>
                <w:b/>
                <w:sz w:val="18"/>
              </w:rPr>
              <w:t>Y002</w:t>
            </w:r>
          </w:p>
        </w:tc>
        <w:tc>
          <w:tcPr>
            <w:tcW w:w="1860" w:type="dxa"/>
            <w:tcMar>
              <w:top w:w="0" w:type="dxa"/>
              <w:bottom w:w="0" w:type="dxa"/>
            </w:tcMar>
            <w:vAlign w:val="center"/>
          </w:tcPr>
          <w:p w14:paraId="608A42C5" w14:textId="77777777" w:rsidR="00A56A20" w:rsidRDefault="00000000">
            <w:pPr>
              <w:keepNext/>
              <w:keepLines/>
              <w:spacing w:after="0" w:line="240" w:lineRule="auto"/>
              <w:jc w:val="right"/>
            </w:pPr>
            <w:r>
              <w:rPr>
                <w:b/>
                <w:sz w:val="18"/>
              </w:rPr>
              <w:t>898,00</w:t>
            </w:r>
          </w:p>
        </w:tc>
        <w:tc>
          <w:tcPr>
            <w:tcW w:w="1860" w:type="dxa"/>
            <w:tcMar>
              <w:top w:w="0" w:type="dxa"/>
              <w:bottom w:w="0" w:type="dxa"/>
            </w:tcMar>
            <w:vAlign w:val="center"/>
          </w:tcPr>
          <w:p w14:paraId="3330640C" w14:textId="77777777" w:rsidR="00A56A20" w:rsidRDefault="00000000">
            <w:pPr>
              <w:keepNext/>
              <w:keepLines/>
              <w:spacing w:after="0" w:line="240" w:lineRule="auto"/>
              <w:jc w:val="right"/>
            </w:pPr>
            <w:r>
              <w:rPr>
                <w:b/>
                <w:sz w:val="18"/>
              </w:rPr>
              <w:t>2.575,25</w:t>
            </w:r>
          </w:p>
        </w:tc>
        <w:tc>
          <w:tcPr>
            <w:tcW w:w="700" w:type="dxa"/>
            <w:tcMar>
              <w:top w:w="0" w:type="dxa"/>
              <w:bottom w:w="0" w:type="dxa"/>
            </w:tcMar>
            <w:vAlign w:val="center"/>
          </w:tcPr>
          <w:p w14:paraId="627AEA16" w14:textId="77777777" w:rsidR="00A56A20" w:rsidRDefault="00000000">
            <w:pPr>
              <w:keepNext/>
              <w:keepLines/>
              <w:spacing w:after="0" w:line="240" w:lineRule="auto"/>
              <w:jc w:val="right"/>
            </w:pPr>
            <w:r>
              <w:rPr>
                <w:b/>
                <w:sz w:val="18"/>
              </w:rPr>
              <w:t>286,8</w:t>
            </w:r>
          </w:p>
        </w:tc>
      </w:tr>
      <w:tr w:rsidR="00A56A20" w14:paraId="0D753F35" w14:textId="77777777">
        <w:tblPrEx>
          <w:tblCellMar>
            <w:top w:w="0" w:type="dxa"/>
            <w:bottom w:w="0" w:type="dxa"/>
          </w:tblCellMar>
        </w:tblPrEx>
        <w:trPr>
          <w:cantSplit/>
          <w:trHeight w:val="560"/>
        </w:trPr>
        <w:tc>
          <w:tcPr>
            <w:tcW w:w="700" w:type="dxa"/>
            <w:tcMar>
              <w:top w:w="0" w:type="dxa"/>
              <w:bottom w:w="0" w:type="dxa"/>
            </w:tcMar>
            <w:vAlign w:val="center"/>
          </w:tcPr>
          <w:p w14:paraId="0104B76E" w14:textId="77777777" w:rsidR="00A56A20" w:rsidRDefault="00000000">
            <w:pPr>
              <w:keepNext/>
              <w:keepLines/>
              <w:spacing w:after="0" w:line="240" w:lineRule="auto"/>
            </w:pPr>
            <w:r>
              <w:rPr>
                <w:sz w:val="18"/>
              </w:rPr>
              <w:t>8</w:t>
            </w:r>
          </w:p>
        </w:tc>
        <w:tc>
          <w:tcPr>
            <w:tcW w:w="3180" w:type="dxa"/>
            <w:tcMar>
              <w:top w:w="0" w:type="dxa"/>
              <w:bottom w:w="0" w:type="dxa"/>
            </w:tcMar>
            <w:vAlign w:val="center"/>
          </w:tcPr>
          <w:p w14:paraId="2CFD9B01" w14:textId="77777777" w:rsidR="00A56A2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8303701" w14:textId="77777777" w:rsidR="00A56A20" w:rsidRDefault="00000000">
            <w:pPr>
              <w:keepNext/>
              <w:keepLines/>
              <w:spacing w:after="0" w:line="240" w:lineRule="auto"/>
            </w:pPr>
            <w:r>
              <w:rPr>
                <w:sz w:val="18"/>
              </w:rPr>
              <w:t>8</w:t>
            </w:r>
          </w:p>
        </w:tc>
        <w:tc>
          <w:tcPr>
            <w:tcW w:w="1860" w:type="dxa"/>
            <w:tcMar>
              <w:top w:w="0" w:type="dxa"/>
              <w:bottom w:w="0" w:type="dxa"/>
            </w:tcMar>
            <w:vAlign w:val="center"/>
          </w:tcPr>
          <w:p w14:paraId="0CBAE4D7" w14:textId="77777777" w:rsidR="00A56A20" w:rsidRDefault="00000000">
            <w:pPr>
              <w:keepNext/>
              <w:keepLines/>
              <w:spacing w:after="0" w:line="240" w:lineRule="auto"/>
              <w:jc w:val="right"/>
            </w:pPr>
            <w:r>
              <w:rPr>
                <w:sz w:val="18"/>
              </w:rPr>
              <w:t>0,00</w:t>
            </w:r>
          </w:p>
        </w:tc>
        <w:tc>
          <w:tcPr>
            <w:tcW w:w="1860" w:type="dxa"/>
            <w:tcMar>
              <w:top w:w="0" w:type="dxa"/>
              <w:bottom w:w="0" w:type="dxa"/>
            </w:tcMar>
            <w:vAlign w:val="center"/>
          </w:tcPr>
          <w:p w14:paraId="78E9C22A" w14:textId="77777777" w:rsidR="00A56A20" w:rsidRDefault="00000000">
            <w:pPr>
              <w:keepNext/>
              <w:keepLines/>
              <w:spacing w:after="0" w:line="240" w:lineRule="auto"/>
              <w:jc w:val="right"/>
            </w:pPr>
            <w:r>
              <w:rPr>
                <w:sz w:val="18"/>
              </w:rPr>
              <w:t>0,00</w:t>
            </w:r>
          </w:p>
        </w:tc>
        <w:tc>
          <w:tcPr>
            <w:tcW w:w="700" w:type="dxa"/>
            <w:tcMar>
              <w:top w:w="0" w:type="dxa"/>
              <w:bottom w:w="0" w:type="dxa"/>
            </w:tcMar>
            <w:vAlign w:val="center"/>
          </w:tcPr>
          <w:p w14:paraId="3ACAB457" w14:textId="77777777" w:rsidR="00A56A20" w:rsidRDefault="00000000">
            <w:pPr>
              <w:keepNext/>
              <w:keepLines/>
              <w:spacing w:after="0" w:line="240" w:lineRule="auto"/>
              <w:jc w:val="right"/>
            </w:pPr>
            <w:r>
              <w:rPr>
                <w:sz w:val="18"/>
              </w:rPr>
              <w:t>-</w:t>
            </w:r>
          </w:p>
        </w:tc>
      </w:tr>
      <w:tr w:rsidR="00A56A20" w14:paraId="5FDEEA37" w14:textId="77777777">
        <w:tblPrEx>
          <w:tblCellMar>
            <w:top w:w="0" w:type="dxa"/>
            <w:bottom w:w="0" w:type="dxa"/>
          </w:tblCellMar>
        </w:tblPrEx>
        <w:trPr>
          <w:cantSplit/>
          <w:trHeight w:val="560"/>
        </w:trPr>
        <w:tc>
          <w:tcPr>
            <w:tcW w:w="700" w:type="dxa"/>
            <w:tcMar>
              <w:top w:w="0" w:type="dxa"/>
              <w:bottom w:w="0" w:type="dxa"/>
            </w:tcMar>
            <w:vAlign w:val="center"/>
          </w:tcPr>
          <w:p w14:paraId="6606804F" w14:textId="77777777" w:rsidR="00A56A20" w:rsidRDefault="00000000">
            <w:pPr>
              <w:keepNext/>
              <w:keepLines/>
              <w:spacing w:after="0" w:line="240" w:lineRule="auto"/>
            </w:pPr>
            <w:r>
              <w:rPr>
                <w:sz w:val="18"/>
              </w:rPr>
              <w:t>5</w:t>
            </w:r>
          </w:p>
        </w:tc>
        <w:tc>
          <w:tcPr>
            <w:tcW w:w="3180" w:type="dxa"/>
            <w:tcMar>
              <w:top w:w="0" w:type="dxa"/>
              <w:bottom w:w="0" w:type="dxa"/>
            </w:tcMar>
            <w:vAlign w:val="center"/>
          </w:tcPr>
          <w:p w14:paraId="22754F69" w14:textId="77777777" w:rsidR="00A56A2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9743A87" w14:textId="77777777" w:rsidR="00A56A20" w:rsidRDefault="00000000">
            <w:pPr>
              <w:keepNext/>
              <w:keepLines/>
              <w:spacing w:after="0" w:line="240" w:lineRule="auto"/>
            </w:pPr>
            <w:r>
              <w:rPr>
                <w:sz w:val="18"/>
              </w:rPr>
              <w:t>5</w:t>
            </w:r>
          </w:p>
        </w:tc>
        <w:tc>
          <w:tcPr>
            <w:tcW w:w="1860" w:type="dxa"/>
            <w:tcMar>
              <w:top w:w="0" w:type="dxa"/>
              <w:bottom w:w="0" w:type="dxa"/>
            </w:tcMar>
            <w:vAlign w:val="center"/>
          </w:tcPr>
          <w:p w14:paraId="4AF5F62E" w14:textId="77777777" w:rsidR="00A56A20" w:rsidRDefault="00000000">
            <w:pPr>
              <w:keepNext/>
              <w:keepLines/>
              <w:spacing w:after="0" w:line="240" w:lineRule="auto"/>
              <w:jc w:val="right"/>
            </w:pPr>
            <w:r>
              <w:rPr>
                <w:sz w:val="18"/>
              </w:rPr>
              <w:t>0,00</w:t>
            </w:r>
          </w:p>
        </w:tc>
        <w:tc>
          <w:tcPr>
            <w:tcW w:w="1860" w:type="dxa"/>
            <w:tcMar>
              <w:top w:w="0" w:type="dxa"/>
              <w:bottom w:w="0" w:type="dxa"/>
            </w:tcMar>
            <w:vAlign w:val="center"/>
          </w:tcPr>
          <w:p w14:paraId="58F211D6" w14:textId="77777777" w:rsidR="00A56A20" w:rsidRDefault="00000000">
            <w:pPr>
              <w:keepNext/>
              <w:keepLines/>
              <w:spacing w:after="0" w:line="240" w:lineRule="auto"/>
              <w:jc w:val="right"/>
            </w:pPr>
            <w:r>
              <w:rPr>
                <w:sz w:val="18"/>
              </w:rPr>
              <w:t>0,00</w:t>
            </w:r>
          </w:p>
        </w:tc>
        <w:tc>
          <w:tcPr>
            <w:tcW w:w="700" w:type="dxa"/>
            <w:tcMar>
              <w:top w:w="0" w:type="dxa"/>
              <w:bottom w:w="0" w:type="dxa"/>
            </w:tcMar>
            <w:vAlign w:val="center"/>
          </w:tcPr>
          <w:p w14:paraId="59A31163" w14:textId="77777777" w:rsidR="00A56A20" w:rsidRDefault="00000000">
            <w:pPr>
              <w:keepNext/>
              <w:keepLines/>
              <w:spacing w:after="0" w:line="240" w:lineRule="auto"/>
              <w:jc w:val="right"/>
            </w:pPr>
            <w:r>
              <w:rPr>
                <w:sz w:val="18"/>
              </w:rPr>
              <w:t>-</w:t>
            </w:r>
          </w:p>
        </w:tc>
      </w:tr>
      <w:tr w:rsidR="00A56A20" w14:paraId="5E51DC8B" w14:textId="77777777">
        <w:tblPrEx>
          <w:tblCellMar>
            <w:top w:w="0" w:type="dxa"/>
            <w:bottom w:w="0" w:type="dxa"/>
          </w:tblCellMar>
        </w:tblPrEx>
        <w:trPr>
          <w:cantSplit/>
          <w:trHeight w:val="560"/>
        </w:trPr>
        <w:tc>
          <w:tcPr>
            <w:tcW w:w="700" w:type="dxa"/>
            <w:tcMar>
              <w:top w:w="0" w:type="dxa"/>
              <w:bottom w:w="0" w:type="dxa"/>
            </w:tcMar>
            <w:vAlign w:val="center"/>
          </w:tcPr>
          <w:p w14:paraId="05CC255D" w14:textId="77777777" w:rsidR="00A56A20" w:rsidRDefault="00A56A20">
            <w:pPr>
              <w:keepNext/>
              <w:keepLines/>
              <w:spacing w:after="0" w:line="240" w:lineRule="auto"/>
            </w:pPr>
          </w:p>
        </w:tc>
        <w:tc>
          <w:tcPr>
            <w:tcW w:w="3180" w:type="dxa"/>
            <w:tcMar>
              <w:top w:w="0" w:type="dxa"/>
              <w:bottom w:w="0" w:type="dxa"/>
            </w:tcMar>
            <w:vAlign w:val="center"/>
          </w:tcPr>
          <w:p w14:paraId="03C20B0C" w14:textId="77777777" w:rsidR="00A56A2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62E8FEB" w14:textId="77777777" w:rsidR="00A56A20" w:rsidRDefault="00000000">
            <w:pPr>
              <w:keepNext/>
              <w:keepLines/>
              <w:spacing w:after="0" w:line="240" w:lineRule="auto"/>
            </w:pPr>
            <w:r>
              <w:rPr>
                <w:b/>
                <w:sz w:val="18"/>
              </w:rPr>
              <w:t>X003, Y003</w:t>
            </w:r>
          </w:p>
        </w:tc>
        <w:tc>
          <w:tcPr>
            <w:tcW w:w="1860" w:type="dxa"/>
            <w:tcMar>
              <w:top w:w="0" w:type="dxa"/>
              <w:bottom w:w="0" w:type="dxa"/>
            </w:tcMar>
            <w:vAlign w:val="center"/>
          </w:tcPr>
          <w:p w14:paraId="03540BEF" w14:textId="77777777" w:rsidR="00A56A20" w:rsidRDefault="00000000">
            <w:pPr>
              <w:keepNext/>
              <w:keepLines/>
              <w:spacing w:after="0" w:line="240" w:lineRule="auto"/>
              <w:jc w:val="right"/>
            </w:pPr>
            <w:r>
              <w:rPr>
                <w:b/>
                <w:sz w:val="18"/>
              </w:rPr>
              <w:t>0,00</w:t>
            </w:r>
          </w:p>
        </w:tc>
        <w:tc>
          <w:tcPr>
            <w:tcW w:w="1860" w:type="dxa"/>
            <w:tcMar>
              <w:top w:w="0" w:type="dxa"/>
              <w:bottom w:w="0" w:type="dxa"/>
            </w:tcMar>
            <w:vAlign w:val="center"/>
          </w:tcPr>
          <w:p w14:paraId="4A5A6FF8" w14:textId="77777777" w:rsidR="00A56A20" w:rsidRDefault="00000000">
            <w:pPr>
              <w:keepNext/>
              <w:keepLines/>
              <w:spacing w:after="0" w:line="240" w:lineRule="auto"/>
              <w:jc w:val="right"/>
            </w:pPr>
            <w:r>
              <w:rPr>
                <w:b/>
                <w:sz w:val="18"/>
              </w:rPr>
              <w:t>0,00</w:t>
            </w:r>
          </w:p>
        </w:tc>
        <w:tc>
          <w:tcPr>
            <w:tcW w:w="700" w:type="dxa"/>
            <w:tcMar>
              <w:top w:w="0" w:type="dxa"/>
              <w:bottom w:w="0" w:type="dxa"/>
            </w:tcMar>
            <w:vAlign w:val="center"/>
          </w:tcPr>
          <w:p w14:paraId="0A865404" w14:textId="77777777" w:rsidR="00A56A20" w:rsidRDefault="00000000">
            <w:pPr>
              <w:keepNext/>
              <w:keepLines/>
              <w:spacing w:after="0" w:line="240" w:lineRule="auto"/>
              <w:jc w:val="right"/>
            </w:pPr>
            <w:r>
              <w:rPr>
                <w:b/>
                <w:sz w:val="18"/>
              </w:rPr>
              <w:t>-</w:t>
            </w:r>
          </w:p>
        </w:tc>
      </w:tr>
      <w:tr w:rsidR="00A56A20" w14:paraId="3A2D29AA" w14:textId="77777777">
        <w:tblPrEx>
          <w:tblCellMar>
            <w:top w:w="0" w:type="dxa"/>
            <w:bottom w:w="0" w:type="dxa"/>
          </w:tblCellMar>
        </w:tblPrEx>
        <w:trPr>
          <w:cantSplit/>
          <w:trHeight w:val="560"/>
        </w:trPr>
        <w:tc>
          <w:tcPr>
            <w:tcW w:w="700" w:type="dxa"/>
            <w:tcMar>
              <w:top w:w="0" w:type="dxa"/>
              <w:bottom w:w="0" w:type="dxa"/>
            </w:tcMar>
            <w:vAlign w:val="center"/>
          </w:tcPr>
          <w:p w14:paraId="05869817" w14:textId="77777777" w:rsidR="00A56A20" w:rsidRDefault="00A56A20">
            <w:pPr>
              <w:keepNext/>
              <w:keepLines/>
              <w:spacing w:after="0" w:line="240" w:lineRule="auto"/>
            </w:pPr>
          </w:p>
        </w:tc>
        <w:tc>
          <w:tcPr>
            <w:tcW w:w="3180" w:type="dxa"/>
            <w:tcMar>
              <w:top w:w="0" w:type="dxa"/>
              <w:bottom w:w="0" w:type="dxa"/>
            </w:tcMar>
            <w:vAlign w:val="center"/>
          </w:tcPr>
          <w:p w14:paraId="17856ACC" w14:textId="77777777" w:rsidR="00A56A2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45ECFAD" w14:textId="77777777" w:rsidR="00A56A20" w:rsidRDefault="00000000">
            <w:pPr>
              <w:keepNext/>
              <w:keepLines/>
              <w:spacing w:after="0" w:line="240" w:lineRule="auto"/>
            </w:pPr>
            <w:r>
              <w:rPr>
                <w:b/>
                <w:sz w:val="18"/>
              </w:rPr>
              <w:t>Y005</w:t>
            </w:r>
          </w:p>
        </w:tc>
        <w:tc>
          <w:tcPr>
            <w:tcW w:w="1860" w:type="dxa"/>
            <w:tcMar>
              <w:top w:w="0" w:type="dxa"/>
              <w:bottom w:w="0" w:type="dxa"/>
            </w:tcMar>
            <w:vAlign w:val="center"/>
          </w:tcPr>
          <w:p w14:paraId="74520932" w14:textId="77777777" w:rsidR="00A56A20" w:rsidRDefault="00000000">
            <w:pPr>
              <w:keepNext/>
              <w:keepLines/>
              <w:spacing w:after="0" w:line="240" w:lineRule="auto"/>
              <w:jc w:val="right"/>
            </w:pPr>
            <w:r>
              <w:rPr>
                <w:b/>
                <w:sz w:val="18"/>
              </w:rPr>
              <w:t>106.921,49</w:t>
            </w:r>
          </w:p>
        </w:tc>
        <w:tc>
          <w:tcPr>
            <w:tcW w:w="1860" w:type="dxa"/>
            <w:tcMar>
              <w:top w:w="0" w:type="dxa"/>
              <w:bottom w:w="0" w:type="dxa"/>
            </w:tcMar>
            <w:vAlign w:val="center"/>
          </w:tcPr>
          <w:p w14:paraId="0A37ABFE" w14:textId="77777777" w:rsidR="00A56A20" w:rsidRDefault="00000000">
            <w:pPr>
              <w:keepNext/>
              <w:keepLines/>
              <w:spacing w:after="0" w:line="240" w:lineRule="auto"/>
              <w:jc w:val="right"/>
            </w:pPr>
            <w:r>
              <w:rPr>
                <w:b/>
                <w:sz w:val="18"/>
              </w:rPr>
              <w:t>7.028,67</w:t>
            </w:r>
          </w:p>
        </w:tc>
        <w:tc>
          <w:tcPr>
            <w:tcW w:w="700" w:type="dxa"/>
            <w:tcMar>
              <w:top w:w="0" w:type="dxa"/>
              <w:bottom w:w="0" w:type="dxa"/>
            </w:tcMar>
            <w:vAlign w:val="center"/>
          </w:tcPr>
          <w:p w14:paraId="14CDE73F" w14:textId="77777777" w:rsidR="00A56A20" w:rsidRDefault="00000000">
            <w:pPr>
              <w:keepNext/>
              <w:keepLines/>
              <w:spacing w:after="0" w:line="240" w:lineRule="auto"/>
              <w:jc w:val="right"/>
            </w:pPr>
            <w:r>
              <w:rPr>
                <w:b/>
                <w:sz w:val="18"/>
              </w:rPr>
              <w:t>6,6</w:t>
            </w:r>
          </w:p>
        </w:tc>
      </w:tr>
    </w:tbl>
    <w:p w14:paraId="71A42710" w14:textId="77777777" w:rsidR="00A56A20" w:rsidRDefault="00A56A20">
      <w:pPr>
        <w:spacing w:after="0"/>
      </w:pPr>
    </w:p>
    <w:p w14:paraId="417B7584" w14:textId="77777777" w:rsidR="00A56A20" w:rsidRDefault="00000000">
      <w:r>
        <w:t xml:space="preserve">U razdoblju od 01.01. do 31.03.2026. godine ostvareni su ukupni prihodi poslovanja u iznosu od 809.524,46 eura dok su u istom razdoblju ostvareni ukupni rashodi poslovanja u iznosu od 813.977,88  eura što dovodi do manjka prihoda poslovanja u iznosu od 4.453,42 eura.  U  razdoblju od 01.01. do 31.03.2026. godine ukupni rashodi za nabavu nefinancijske imovine   iznose 2.575,25 eura a u istom razdoblju nije bilo ostvarenih prihoda od prodaje nefinancijske imovine te stoga manjak prihoda od nefinancijske imovine iznosi 2.575,25 eura. U razdoblju </w:t>
      </w:r>
      <w:r>
        <w:lastRenderedPageBreak/>
        <w:t>od 01.01. do 31.03.2026. godine nije bilo ni primitaka ni izdataka od financijske imovine. Ukupan manjak  prihoda i primitaka, odnosno zbroj manjka prihoda poslovanja i manjka prihoda od nefinancijske imovine, za razdoblje od 01.01. do 31.03.2026. godine iznosi 7.028,67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osigurani i realizirati će se već u travnju  2026. godine, prilikom naplate računa te kad se proknjiži prihod za plaće. </w:t>
      </w:r>
    </w:p>
    <w:p w14:paraId="38582797" w14:textId="77777777" w:rsidR="00A56A20" w:rsidRDefault="00000000">
      <w:r>
        <w:br/>
      </w:r>
    </w:p>
    <w:p w14:paraId="28F38F25" w14:textId="77777777" w:rsidR="00A56A2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FA061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C73644"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798E8B"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E3B0C"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BF8F4"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5A67F4"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2E823" w14:textId="77777777" w:rsidR="00A56A20" w:rsidRDefault="00000000">
            <w:pPr>
              <w:keepNext/>
              <w:keepLines/>
              <w:spacing w:after="0" w:line="240" w:lineRule="auto"/>
              <w:jc w:val="center"/>
            </w:pPr>
            <w:r>
              <w:rPr>
                <w:b/>
                <w:sz w:val="18"/>
              </w:rPr>
              <w:t>Indeks (%)</w:t>
            </w:r>
          </w:p>
        </w:tc>
      </w:tr>
      <w:tr w:rsidR="00A56A20" w14:paraId="2C744225" w14:textId="77777777">
        <w:tblPrEx>
          <w:tblCellMar>
            <w:top w:w="0" w:type="dxa"/>
            <w:bottom w:w="0" w:type="dxa"/>
          </w:tblCellMar>
        </w:tblPrEx>
        <w:trPr>
          <w:cantSplit/>
          <w:trHeight w:val="560"/>
        </w:trPr>
        <w:tc>
          <w:tcPr>
            <w:tcW w:w="700" w:type="dxa"/>
            <w:tcMar>
              <w:top w:w="0" w:type="dxa"/>
              <w:bottom w:w="0" w:type="dxa"/>
            </w:tcMar>
            <w:vAlign w:val="center"/>
          </w:tcPr>
          <w:p w14:paraId="46BBF839" w14:textId="77777777" w:rsidR="00A56A20" w:rsidRDefault="00000000">
            <w:pPr>
              <w:keepNext/>
              <w:keepLines/>
              <w:spacing w:after="0" w:line="240" w:lineRule="auto"/>
            </w:pPr>
            <w:r>
              <w:rPr>
                <w:sz w:val="18"/>
              </w:rPr>
              <w:t>6</w:t>
            </w:r>
          </w:p>
        </w:tc>
        <w:tc>
          <w:tcPr>
            <w:tcW w:w="3180" w:type="dxa"/>
            <w:tcMar>
              <w:top w:w="0" w:type="dxa"/>
              <w:bottom w:w="0" w:type="dxa"/>
            </w:tcMar>
            <w:vAlign w:val="center"/>
          </w:tcPr>
          <w:p w14:paraId="342E81A4" w14:textId="77777777" w:rsidR="00A56A2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7304FBC" w14:textId="77777777" w:rsidR="00A56A20" w:rsidRDefault="00000000">
            <w:pPr>
              <w:keepNext/>
              <w:keepLines/>
              <w:spacing w:after="0" w:line="240" w:lineRule="auto"/>
            </w:pPr>
            <w:r>
              <w:rPr>
                <w:sz w:val="18"/>
              </w:rPr>
              <w:t>6</w:t>
            </w:r>
          </w:p>
        </w:tc>
        <w:tc>
          <w:tcPr>
            <w:tcW w:w="1860" w:type="dxa"/>
            <w:tcMar>
              <w:top w:w="0" w:type="dxa"/>
              <w:bottom w:w="0" w:type="dxa"/>
            </w:tcMar>
            <w:vAlign w:val="center"/>
          </w:tcPr>
          <w:p w14:paraId="136FD35D" w14:textId="77777777" w:rsidR="00A56A20" w:rsidRDefault="00000000">
            <w:pPr>
              <w:keepNext/>
              <w:keepLines/>
              <w:spacing w:after="0" w:line="240" w:lineRule="auto"/>
              <w:jc w:val="right"/>
            </w:pPr>
            <w:r>
              <w:rPr>
                <w:sz w:val="18"/>
              </w:rPr>
              <w:t>850.572,14</w:t>
            </w:r>
          </w:p>
        </w:tc>
        <w:tc>
          <w:tcPr>
            <w:tcW w:w="1860" w:type="dxa"/>
            <w:tcMar>
              <w:top w:w="0" w:type="dxa"/>
              <w:bottom w:w="0" w:type="dxa"/>
            </w:tcMar>
            <w:vAlign w:val="center"/>
          </w:tcPr>
          <w:p w14:paraId="440C5833" w14:textId="77777777" w:rsidR="00A56A20" w:rsidRDefault="00000000">
            <w:pPr>
              <w:keepNext/>
              <w:keepLines/>
              <w:spacing w:after="0" w:line="240" w:lineRule="auto"/>
              <w:jc w:val="right"/>
            </w:pPr>
            <w:r>
              <w:rPr>
                <w:sz w:val="18"/>
              </w:rPr>
              <w:t>809.524,46</w:t>
            </w:r>
          </w:p>
        </w:tc>
        <w:tc>
          <w:tcPr>
            <w:tcW w:w="700" w:type="dxa"/>
            <w:tcMar>
              <w:top w:w="0" w:type="dxa"/>
              <w:bottom w:w="0" w:type="dxa"/>
            </w:tcMar>
            <w:vAlign w:val="center"/>
          </w:tcPr>
          <w:p w14:paraId="28A065F5" w14:textId="77777777" w:rsidR="00A56A20" w:rsidRDefault="00000000">
            <w:pPr>
              <w:keepNext/>
              <w:keepLines/>
              <w:spacing w:after="0" w:line="240" w:lineRule="auto"/>
              <w:jc w:val="right"/>
            </w:pPr>
            <w:r>
              <w:rPr>
                <w:sz w:val="18"/>
              </w:rPr>
              <w:t>95,2</w:t>
            </w:r>
          </w:p>
        </w:tc>
      </w:tr>
    </w:tbl>
    <w:p w14:paraId="031A4CA1" w14:textId="77777777" w:rsidR="00A56A20" w:rsidRDefault="00A56A20">
      <w:pPr>
        <w:spacing w:after="0"/>
      </w:pPr>
    </w:p>
    <w:p w14:paraId="22FA5F08" w14:textId="77777777" w:rsidR="00A56A20" w:rsidRDefault="00000000">
      <w:r>
        <w:t>PRIHODI POSLOVANJA  - ŠIFRA 6 - ostvareni u izvještajnom razdoblju iznose 809.524,46 eura odnosno 95,2%  u odnosu na isto izvještajno razdoblje prethodne godine. </w:t>
      </w:r>
    </w:p>
    <w:p w14:paraId="7A1C85A1" w14:textId="77777777" w:rsidR="00A56A20" w:rsidRDefault="00A56A20"/>
    <w:p w14:paraId="333F6C86" w14:textId="77777777" w:rsidR="00A56A2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1F654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330E0C"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AEB321"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1AF1D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CEB3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98B7E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D51794" w14:textId="77777777" w:rsidR="00A56A20" w:rsidRDefault="00000000">
            <w:pPr>
              <w:keepNext/>
              <w:keepLines/>
              <w:spacing w:after="0" w:line="240" w:lineRule="auto"/>
              <w:jc w:val="center"/>
            </w:pPr>
            <w:r>
              <w:rPr>
                <w:b/>
                <w:sz w:val="18"/>
              </w:rPr>
              <w:t>Indeks (%)</w:t>
            </w:r>
          </w:p>
        </w:tc>
      </w:tr>
      <w:tr w:rsidR="00A56A20" w14:paraId="3DC02259" w14:textId="77777777">
        <w:tblPrEx>
          <w:tblCellMar>
            <w:top w:w="0" w:type="dxa"/>
            <w:bottom w:w="0" w:type="dxa"/>
          </w:tblCellMar>
        </w:tblPrEx>
        <w:trPr>
          <w:cantSplit/>
          <w:trHeight w:val="560"/>
        </w:trPr>
        <w:tc>
          <w:tcPr>
            <w:tcW w:w="700" w:type="dxa"/>
            <w:tcMar>
              <w:top w:w="0" w:type="dxa"/>
              <w:bottom w:w="0" w:type="dxa"/>
            </w:tcMar>
            <w:vAlign w:val="center"/>
          </w:tcPr>
          <w:p w14:paraId="321DDDE8" w14:textId="77777777" w:rsidR="00A56A20" w:rsidRDefault="00000000">
            <w:pPr>
              <w:keepNext/>
              <w:keepLines/>
              <w:spacing w:after="0" w:line="240" w:lineRule="auto"/>
            </w:pPr>
            <w:r>
              <w:rPr>
                <w:sz w:val="18"/>
              </w:rPr>
              <w:t>6361</w:t>
            </w:r>
          </w:p>
        </w:tc>
        <w:tc>
          <w:tcPr>
            <w:tcW w:w="3180" w:type="dxa"/>
            <w:tcMar>
              <w:top w:w="0" w:type="dxa"/>
              <w:bottom w:w="0" w:type="dxa"/>
            </w:tcMar>
            <w:vAlign w:val="center"/>
          </w:tcPr>
          <w:p w14:paraId="3ED6E1CD" w14:textId="77777777" w:rsidR="00A56A20"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4A14B1D" w14:textId="77777777" w:rsidR="00A56A20" w:rsidRDefault="00000000">
            <w:pPr>
              <w:keepNext/>
              <w:keepLines/>
              <w:spacing w:after="0" w:line="240" w:lineRule="auto"/>
            </w:pPr>
            <w:r>
              <w:rPr>
                <w:sz w:val="18"/>
              </w:rPr>
              <w:t>6361</w:t>
            </w:r>
          </w:p>
        </w:tc>
        <w:tc>
          <w:tcPr>
            <w:tcW w:w="1860" w:type="dxa"/>
            <w:tcMar>
              <w:top w:w="0" w:type="dxa"/>
              <w:bottom w:w="0" w:type="dxa"/>
            </w:tcMar>
            <w:vAlign w:val="center"/>
          </w:tcPr>
          <w:p w14:paraId="4ACB88FA" w14:textId="77777777" w:rsidR="00A56A20" w:rsidRDefault="00000000">
            <w:pPr>
              <w:keepNext/>
              <w:keepLines/>
              <w:spacing w:after="0" w:line="240" w:lineRule="auto"/>
              <w:jc w:val="right"/>
            </w:pPr>
            <w:r>
              <w:rPr>
                <w:sz w:val="18"/>
              </w:rPr>
              <w:t>585.300,50</w:t>
            </w:r>
          </w:p>
        </w:tc>
        <w:tc>
          <w:tcPr>
            <w:tcW w:w="1860" w:type="dxa"/>
            <w:tcMar>
              <w:top w:w="0" w:type="dxa"/>
              <w:bottom w:w="0" w:type="dxa"/>
            </w:tcMar>
            <w:vAlign w:val="center"/>
          </w:tcPr>
          <w:p w14:paraId="7D52B8CE" w14:textId="77777777" w:rsidR="00A56A20" w:rsidRDefault="00000000">
            <w:pPr>
              <w:keepNext/>
              <w:keepLines/>
              <w:spacing w:after="0" w:line="240" w:lineRule="auto"/>
              <w:jc w:val="right"/>
            </w:pPr>
            <w:r>
              <w:rPr>
                <w:sz w:val="18"/>
              </w:rPr>
              <w:t>618.223,43</w:t>
            </w:r>
          </w:p>
        </w:tc>
        <w:tc>
          <w:tcPr>
            <w:tcW w:w="700" w:type="dxa"/>
            <w:tcMar>
              <w:top w:w="0" w:type="dxa"/>
              <w:bottom w:w="0" w:type="dxa"/>
            </w:tcMar>
            <w:vAlign w:val="center"/>
          </w:tcPr>
          <w:p w14:paraId="6988BCCE" w14:textId="77777777" w:rsidR="00A56A20" w:rsidRDefault="00000000">
            <w:pPr>
              <w:keepNext/>
              <w:keepLines/>
              <w:spacing w:after="0" w:line="240" w:lineRule="auto"/>
              <w:jc w:val="right"/>
            </w:pPr>
            <w:r>
              <w:rPr>
                <w:sz w:val="18"/>
              </w:rPr>
              <w:t>105,6</w:t>
            </w:r>
          </w:p>
        </w:tc>
      </w:tr>
    </w:tbl>
    <w:p w14:paraId="0EF27F4F" w14:textId="77777777" w:rsidR="00A56A20" w:rsidRDefault="00A56A20">
      <w:pPr>
        <w:spacing w:after="0"/>
      </w:pPr>
    </w:p>
    <w:p w14:paraId="080ABE6A" w14:textId="77777777" w:rsidR="00A56A20" w:rsidRDefault="00000000">
      <w:pPr>
        <w:jc w:val="both"/>
      </w:pPr>
      <w:r>
        <w:t>Tekuće pomoći proračunskim korisnicima iz proračuna koji im nije nadležan - šifra 6361 - iznose 618.223,43 eura i bilježe rast indeksa na 105,6 u odnosu na isto razdoblje prethodne godine. Do blagog rasta prihoda dolazi zato jer su u ovom izvještajnom razdoblju  veći   prihodi  za plaće koji se najvećim dijelom financiraju iz ovih prihoda.</w:t>
      </w:r>
    </w:p>
    <w:p w14:paraId="1F378B47" w14:textId="77777777" w:rsidR="00A56A20" w:rsidRDefault="00A56A20"/>
    <w:p w14:paraId="30E6E10F" w14:textId="77777777" w:rsidR="00A56A2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15050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54D41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5A4A4E"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17025"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98252B"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D6A16A"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B1B3B" w14:textId="77777777" w:rsidR="00A56A20" w:rsidRDefault="00000000">
            <w:pPr>
              <w:keepNext/>
              <w:keepLines/>
              <w:spacing w:after="0" w:line="240" w:lineRule="auto"/>
              <w:jc w:val="center"/>
            </w:pPr>
            <w:r>
              <w:rPr>
                <w:b/>
                <w:sz w:val="18"/>
              </w:rPr>
              <w:t>Indeks (%)</w:t>
            </w:r>
          </w:p>
        </w:tc>
      </w:tr>
      <w:tr w:rsidR="00A56A20" w14:paraId="276B7780" w14:textId="77777777">
        <w:tblPrEx>
          <w:tblCellMar>
            <w:top w:w="0" w:type="dxa"/>
            <w:bottom w:w="0" w:type="dxa"/>
          </w:tblCellMar>
        </w:tblPrEx>
        <w:trPr>
          <w:cantSplit/>
          <w:trHeight w:val="560"/>
        </w:trPr>
        <w:tc>
          <w:tcPr>
            <w:tcW w:w="700" w:type="dxa"/>
            <w:tcMar>
              <w:top w:w="0" w:type="dxa"/>
              <w:bottom w:w="0" w:type="dxa"/>
            </w:tcMar>
            <w:vAlign w:val="center"/>
          </w:tcPr>
          <w:p w14:paraId="014000B6" w14:textId="77777777" w:rsidR="00A56A20" w:rsidRDefault="00000000">
            <w:pPr>
              <w:keepNext/>
              <w:keepLines/>
              <w:spacing w:after="0" w:line="240" w:lineRule="auto"/>
            </w:pPr>
            <w:r>
              <w:rPr>
                <w:sz w:val="18"/>
              </w:rPr>
              <w:t>6362</w:t>
            </w:r>
          </w:p>
        </w:tc>
        <w:tc>
          <w:tcPr>
            <w:tcW w:w="3180" w:type="dxa"/>
            <w:tcMar>
              <w:top w:w="0" w:type="dxa"/>
              <w:bottom w:w="0" w:type="dxa"/>
            </w:tcMar>
            <w:vAlign w:val="center"/>
          </w:tcPr>
          <w:p w14:paraId="0F67F0D5" w14:textId="77777777" w:rsidR="00A56A20"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218EC886" w14:textId="77777777" w:rsidR="00A56A20" w:rsidRDefault="00000000">
            <w:pPr>
              <w:keepNext/>
              <w:keepLines/>
              <w:spacing w:after="0" w:line="240" w:lineRule="auto"/>
            </w:pPr>
            <w:r>
              <w:rPr>
                <w:sz w:val="18"/>
              </w:rPr>
              <w:t>6362</w:t>
            </w:r>
          </w:p>
        </w:tc>
        <w:tc>
          <w:tcPr>
            <w:tcW w:w="1860" w:type="dxa"/>
            <w:tcMar>
              <w:top w:w="0" w:type="dxa"/>
              <w:bottom w:w="0" w:type="dxa"/>
            </w:tcMar>
            <w:vAlign w:val="center"/>
          </w:tcPr>
          <w:p w14:paraId="7DAF7D27" w14:textId="77777777" w:rsidR="00A56A20" w:rsidRDefault="00000000">
            <w:pPr>
              <w:keepNext/>
              <w:keepLines/>
              <w:spacing w:after="0" w:line="240" w:lineRule="auto"/>
              <w:jc w:val="right"/>
            </w:pPr>
            <w:r>
              <w:rPr>
                <w:sz w:val="18"/>
              </w:rPr>
              <w:t>898,00</w:t>
            </w:r>
          </w:p>
        </w:tc>
        <w:tc>
          <w:tcPr>
            <w:tcW w:w="1860" w:type="dxa"/>
            <w:tcMar>
              <w:top w:w="0" w:type="dxa"/>
              <w:bottom w:w="0" w:type="dxa"/>
            </w:tcMar>
            <w:vAlign w:val="center"/>
          </w:tcPr>
          <w:p w14:paraId="506139C4" w14:textId="77777777" w:rsidR="00A56A20" w:rsidRDefault="00000000">
            <w:pPr>
              <w:keepNext/>
              <w:keepLines/>
              <w:spacing w:after="0" w:line="240" w:lineRule="auto"/>
              <w:jc w:val="right"/>
            </w:pPr>
            <w:r>
              <w:rPr>
                <w:sz w:val="18"/>
              </w:rPr>
              <w:t>0,00</w:t>
            </w:r>
          </w:p>
        </w:tc>
        <w:tc>
          <w:tcPr>
            <w:tcW w:w="700" w:type="dxa"/>
            <w:tcMar>
              <w:top w:w="0" w:type="dxa"/>
              <w:bottom w:w="0" w:type="dxa"/>
            </w:tcMar>
            <w:vAlign w:val="center"/>
          </w:tcPr>
          <w:p w14:paraId="3CF1E859" w14:textId="77777777" w:rsidR="00A56A20" w:rsidRDefault="00000000">
            <w:pPr>
              <w:keepNext/>
              <w:keepLines/>
              <w:spacing w:after="0" w:line="240" w:lineRule="auto"/>
              <w:jc w:val="right"/>
            </w:pPr>
            <w:r>
              <w:rPr>
                <w:sz w:val="18"/>
              </w:rPr>
              <w:t>0</w:t>
            </w:r>
          </w:p>
        </w:tc>
      </w:tr>
    </w:tbl>
    <w:p w14:paraId="60D422D2" w14:textId="77777777" w:rsidR="00A56A20" w:rsidRDefault="00A56A20">
      <w:pPr>
        <w:spacing w:after="0"/>
      </w:pPr>
    </w:p>
    <w:p w14:paraId="4548AA68" w14:textId="77777777" w:rsidR="00A56A20" w:rsidRDefault="00000000">
      <w:r>
        <w:t>U ovom izvještajnom razdoblju još nisu ostvareni prihodi od kapitalnih pomoći - šifra 6362 - dok su u prethodnom razdoblju ostvareni prihodi od kapitalnih pomoći MZOM za nabavu informatičke opreme za rad s darovitim učenicima.</w:t>
      </w:r>
    </w:p>
    <w:p w14:paraId="0FBE22A3" w14:textId="77777777" w:rsidR="00A56A20" w:rsidRDefault="00A56A20"/>
    <w:p w14:paraId="0C438C4D" w14:textId="77777777" w:rsidR="00A56A2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5AA96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6A2B95"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16C328"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4988B5"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0E63EC"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1C08E3"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DB01F" w14:textId="77777777" w:rsidR="00A56A20" w:rsidRDefault="00000000">
            <w:pPr>
              <w:keepNext/>
              <w:keepLines/>
              <w:spacing w:after="0" w:line="240" w:lineRule="auto"/>
              <w:jc w:val="center"/>
            </w:pPr>
            <w:r>
              <w:rPr>
                <w:b/>
                <w:sz w:val="18"/>
              </w:rPr>
              <w:t>Indeks (%)</w:t>
            </w:r>
          </w:p>
        </w:tc>
      </w:tr>
      <w:tr w:rsidR="00A56A20" w14:paraId="59329A26" w14:textId="77777777">
        <w:tblPrEx>
          <w:tblCellMar>
            <w:top w:w="0" w:type="dxa"/>
            <w:bottom w:w="0" w:type="dxa"/>
          </w:tblCellMar>
        </w:tblPrEx>
        <w:trPr>
          <w:cantSplit/>
          <w:trHeight w:val="560"/>
        </w:trPr>
        <w:tc>
          <w:tcPr>
            <w:tcW w:w="700" w:type="dxa"/>
            <w:tcMar>
              <w:top w:w="0" w:type="dxa"/>
              <w:bottom w:w="0" w:type="dxa"/>
            </w:tcMar>
            <w:vAlign w:val="center"/>
          </w:tcPr>
          <w:p w14:paraId="7C5466A0" w14:textId="77777777" w:rsidR="00A56A20" w:rsidRDefault="00000000">
            <w:pPr>
              <w:keepNext/>
              <w:keepLines/>
              <w:spacing w:after="0" w:line="240" w:lineRule="auto"/>
            </w:pPr>
            <w:r>
              <w:rPr>
                <w:sz w:val="18"/>
              </w:rPr>
              <w:t>6391</w:t>
            </w:r>
          </w:p>
        </w:tc>
        <w:tc>
          <w:tcPr>
            <w:tcW w:w="3180" w:type="dxa"/>
            <w:tcMar>
              <w:top w:w="0" w:type="dxa"/>
              <w:bottom w:w="0" w:type="dxa"/>
            </w:tcMar>
            <w:vAlign w:val="center"/>
          </w:tcPr>
          <w:p w14:paraId="4CF20ED8" w14:textId="77777777" w:rsidR="00A56A20"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7D306515" w14:textId="77777777" w:rsidR="00A56A20" w:rsidRDefault="00000000">
            <w:pPr>
              <w:keepNext/>
              <w:keepLines/>
              <w:spacing w:after="0" w:line="240" w:lineRule="auto"/>
            </w:pPr>
            <w:r>
              <w:rPr>
                <w:sz w:val="18"/>
              </w:rPr>
              <w:t>6391</w:t>
            </w:r>
          </w:p>
        </w:tc>
        <w:tc>
          <w:tcPr>
            <w:tcW w:w="1860" w:type="dxa"/>
            <w:tcMar>
              <w:top w:w="0" w:type="dxa"/>
              <w:bottom w:w="0" w:type="dxa"/>
            </w:tcMar>
            <w:vAlign w:val="center"/>
          </w:tcPr>
          <w:p w14:paraId="44A2D70E" w14:textId="77777777" w:rsidR="00A56A20" w:rsidRDefault="00000000">
            <w:pPr>
              <w:keepNext/>
              <w:keepLines/>
              <w:spacing w:after="0" w:line="240" w:lineRule="auto"/>
              <w:jc w:val="right"/>
            </w:pPr>
            <w:r>
              <w:rPr>
                <w:sz w:val="18"/>
              </w:rPr>
              <w:t>6.486,15</w:t>
            </w:r>
          </w:p>
        </w:tc>
        <w:tc>
          <w:tcPr>
            <w:tcW w:w="1860" w:type="dxa"/>
            <w:tcMar>
              <w:top w:w="0" w:type="dxa"/>
              <w:bottom w:w="0" w:type="dxa"/>
            </w:tcMar>
            <w:vAlign w:val="center"/>
          </w:tcPr>
          <w:p w14:paraId="36211AD0" w14:textId="77777777" w:rsidR="00A56A20" w:rsidRDefault="00000000">
            <w:pPr>
              <w:keepNext/>
              <w:keepLines/>
              <w:spacing w:after="0" w:line="240" w:lineRule="auto"/>
              <w:jc w:val="right"/>
            </w:pPr>
            <w:r>
              <w:rPr>
                <w:sz w:val="18"/>
              </w:rPr>
              <w:t>8.455,24</w:t>
            </w:r>
          </w:p>
        </w:tc>
        <w:tc>
          <w:tcPr>
            <w:tcW w:w="700" w:type="dxa"/>
            <w:tcMar>
              <w:top w:w="0" w:type="dxa"/>
              <w:bottom w:w="0" w:type="dxa"/>
            </w:tcMar>
            <w:vAlign w:val="center"/>
          </w:tcPr>
          <w:p w14:paraId="2F0E7887" w14:textId="77777777" w:rsidR="00A56A20" w:rsidRDefault="00000000">
            <w:pPr>
              <w:keepNext/>
              <w:keepLines/>
              <w:spacing w:after="0" w:line="240" w:lineRule="auto"/>
              <w:jc w:val="right"/>
            </w:pPr>
            <w:r>
              <w:rPr>
                <w:sz w:val="18"/>
              </w:rPr>
              <w:t>130,4</w:t>
            </w:r>
          </w:p>
        </w:tc>
      </w:tr>
    </w:tbl>
    <w:p w14:paraId="05508C1C" w14:textId="77777777" w:rsidR="00A56A20" w:rsidRDefault="00A56A20">
      <w:pPr>
        <w:spacing w:after="0"/>
      </w:pPr>
    </w:p>
    <w:p w14:paraId="7E1BBBA6" w14:textId="77777777" w:rsidR="00A56A20" w:rsidRDefault="00000000">
      <w:pPr>
        <w:jc w:val="both"/>
      </w:pPr>
      <w:r>
        <w:t>Tekući prijenosi između proračunskih korisnika istog proračuna - šifra 6391 - iznose 8.455,24 eura i bilježe rast  indeksa na 130,4 u odnosu na isto razdoblje prethodne godine. Do rasta indeksa dolazi  zbog većih rashoda za  plaće pomoćnika u nastavi. U ovom izvještajnom razdoblju je zaposleno deset pomoćnika u nastavi dok je u istom izvještajnom razdoblju prethodne godine bilo zaposleno osam pomoćnika u nastavi.</w:t>
      </w:r>
    </w:p>
    <w:p w14:paraId="08FAD954" w14:textId="77777777" w:rsidR="00A56A20" w:rsidRDefault="00A56A20"/>
    <w:p w14:paraId="1A700F1C" w14:textId="77777777" w:rsidR="00A56A2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2B7E6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0635C"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F0B77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BDB94"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373D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DFC5FD"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BB4E4E" w14:textId="77777777" w:rsidR="00A56A20" w:rsidRDefault="00000000">
            <w:pPr>
              <w:keepNext/>
              <w:keepLines/>
              <w:spacing w:after="0" w:line="240" w:lineRule="auto"/>
              <w:jc w:val="center"/>
            </w:pPr>
            <w:r>
              <w:rPr>
                <w:b/>
                <w:sz w:val="18"/>
              </w:rPr>
              <w:t>Indeks (%)</w:t>
            </w:r>
          </w:p>
        </w:tc>
      </w:tr>
      <w:tr w:rsidR="00A56A20" w14:paraId="28EABE6F" w14:textId="77777777">
        <w:tblPrEx>
          <w:tblCellMar>
            <w:top w:w="0" w:type="dxa"/>
            <w:bottom w:w="0" w:type="dxa"/>
          </w:tblCellMar>
        </w:tblPrEx>
        <w:trPr>
          <w:cantSplit/>
          <w:trHeight w:val="560"/>
        </w:trPr>
        <w:tc>
          <w:tcPr>
            <w:tcW w:w="700" w:type="dxa"/>
            <w:tcMar>
              <w:top w:w="0" w:type="dxa"/>
              <w:bottom w:w="0" w:type="dxa"/>
            </w:tcMar>
            <w:vAlign w:val="center"/>
          </w:tcPr>
          <w:p w14:paraId="04144508" w14:textId="77777777" w:rsidR="00A56A20" w:rsidRDefault="00000000">
            <w:pPr>
              <w:keepNext/>
              <w:keepLines/>
              <w:spacing w:after="0" w:line="240" w:lineRule="auto"/>
            </w:pPr>
            <w:r>
              <w:rPr>
                <w:sz w:val="18"/>
              </w:rPr>
              <w:t>6393</w:t>
            </w:r>
          </w:p>
        </w:tc>
        <w:tc>
          <w:tcPr>
            <w:tcW w:w="3180" w:type="dxa"/>
            <w:tcMar>
              <w:top w:w="0" w:type="dxa"/>
              <w:bottom w:w="0" w:type="dxa"/>
            </w:tcMar>
            <w:vAlign w:val="center"/>
          </w:tcPr>
          <w:p w14:paraId="18A8F1EA" w14:textId="77777777" w:rsidR="00A56A20" w:rsidRDefault="000000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245565B7" w14:textId="77777777" w:rsidR="00A56A20" w:rsidRDefault="00000000">
            <w:pPr>
              <w:keepNext/>
              <w:keepLines/>
              <w:spacing w:after="0" w:line="240" w:lineRule="auto"/>
            </w:pPr>
            <w:r>
              <w:rPr>
                <w:sz w:val="18"/>
              </w:rPr>
              <w:t>6393</w:t>
            </w:r>
          </w:p>
        </w:tc>
        <w:tc>
          <w:tcPr>
            <w:tcW w:w="1860" w:type="dxa"/>
            <w:tcMar>
              <w:top w:w="0" w:type="dxa"/>
              <w:bottom w:w="0" w:type="dxa"/>
            </w:tcMar>
            <w:vAlign w:val="center"/>
          </w:tcPr>
          <w:p w14:paraId="7B2BF0CC" w14:textId="77777777" w:rsidR="00A56A20" w:rsidRDefault="00000000">
            <w:pPr>
              <w:keepNext/>
              <w:keepLines/>
              <w:spacing w:after="0" w:line="240" w:lineRule="auto"/>
              <w:jc w:val="right"/>
            </w:pPr>
            <w:r>
              <w:rPr>
                <w:sz w:val="18"/>
              </w:rPr>
              <w:t>15.110,40</w:t>
            </w:r>
          </w:p>
        </w:tc>
        <w:tc>
          <w:tcPr>
            <w:tcW w:w="1860" w:type="dxa"/>
            <w:tcMar>
              <w:top w:w="0" w:type="dxa"/>
              <w:bottom w:w="0" w:type="dxa"/>
            </w:tcMar>
            <w:vAlign w:val="center"/>
          </w:tcPr>
          <w:p w14:paraId="5FC1C1B6" w14:textId="77777777" w:rsidR="00A56A20" w:rsidRDefault="00000000">
            <w:pPr>
              <w:keepNext/>
              <w:keepLines/>
              <w:spacing w:after="0" w:line="240" w:lineRule="auto"/>
              <w:jc w:val="right"/>
            </w:pPr>
            <w:r>
              <w:rPr>
                <w:sz w:val="18"/>
              </w:rPr>
              <w:t>19.517,60</w:t>
            </w:r>
          </w:p>
        </w:tc>
        <w:tc>
          <w:tcPr>
            <w:tcW w:w="700" w:type="dxa"/>
            <w:tcMar>
              <w:top w:w="0" w:type="dxa"/>
              <w:bottom w:w="0" w:type="dxa"/>
            </w:tcMar>
            <w:vAlign w:val="center"/>
          </w:tcPr>
          <w:p w14:paraId="273149D9" w14:textId="77777777" w:rsidR="00A56A20" w:rsidRDefault="00000000">
            <w:pPr>
              <w:keepNext/>
              <w:keepLines/>
              <w:spacing w:after="0" w:line="240" w:lineRule="auto"/>
              <w:jc w:val="right"/>
            </w:pPr>
            <w:r>
              <w:rPr>
                <w:sz w:val="18"/>
              </w:rPr>
              <w:t>129,2</w:t>
            </w:r>
          </w:p>
        </w:tc>
      </w:tr>
    </w:tbl>
    <w:p w14:paraId="50986F6E" w14:textId="77777777" w:rsidR="00A56A20" w:rsidRDefault="00A56A20">
      <w:pPr>
        <w:spacing w:after="0"/>
      </w:pPr>
    </w:p>
    <w:p w14:paraId="02F7B744" w14:textId="77777777" w:rsidR="00A56A20" w:rsidRDefault="00000000">
      <w:pPr>
        <w:jc w:val="both"/>
      </w:pPr>
      <w:r>
        <w:t>Tekući prijenosi između proračunskih korisnika istog proračuna temeljem prijenosa EU sredstava - šifra 6393 - iznose 19.517,60 eura i bilježe rast  indeksa na 129,2 u odnosu na isto razdoblje prethodne godine. Do rasta indeksa dolazi  zbog većih rashoda za  plaće pomoćnika u nastavi. U ovom izvještajnom razdoblju je zaposleno deset pomoćnika u nastavi dok je u istom izvještajnom razdoblju prethodne godine bilo zaposleno osam pomoćnika u nastavi.</w:t>
      </w:r>
    </w:p>
    <w:p w14:paraId="743E592F" w14:textId="77777777" w:rsidR="00A56A20" w:rsidRDefault="00A56A20"/>
    <w:p w14:paraId="16F043BC" w14:textId="77777777" w:rsidR="00A56A2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4DCD2E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633DD2"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474F71"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F9E10"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F709B"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2FA4E7"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60D69" w14:textId="77777777" w:rsidR="00A56A20" w:rsidRDefault="00000000">
            <w:pPr>
              <w:keepNext/>
              <w:keepLines/>
              <w:spacing w:after="0" w:line="240" w:lineRule="auto"/>
              <w:jc w:val="center"/>
            </w:pPr>
            <w:r>
              <w:rPr>
                <w:b/>
                <w:sz w:val="18"/>
              </w:rPr>
              <w:t>Indeks (%)</w:t>
            </w:r>
          </w:p>
        </w:tc>
      </w:tr>
      <w:tr w:rsidR="00A56A20" w14:paraId="11C34A60" w14:textId="77777777">
        <w:tblPrEx>
          <w:tblCellMar>
            <w:top w:w="0" w:type="dxa"/>
            <w:bottom w:w="0" w:type="dxa"/>
          </w:tblCellMar>
        </w:tblPrEx>
        <w:trPr>
          <w:cantSplit/>
          <w:trHeight w:val="560"/>
        </w:trPr>
        <w:tc>
          <w:tcPr>
            <w:tcW w:w="700" w:type="dxa"/>
            <w:tcMar>
              <w:top w:w="0" w:type="dxa"/>
              <w:bottom w:w="0" w:type="dxa"/>
            </w:tcMar>
            <w:vAlign w:val="center"/>
          </w:tcPr>
          <w:p w14:paraId="538502F5" w14:textId="77777777" w:rsidR="00A56A20" w:rsidRDefault="00000000">
            <w:pPr>
              <w:keepNext/>
              <w:keepLines/>
              <w:spacing w:after="0" w:line="240" w:lineRule="auto"/>
            </w:pPr>
            <w:r>
              <w:rPr>
                <w:sz w:val="18"/>
              </w:rPr>
              <w:t>6526</w:t>
            </w:r>
          </w:p>
        </w:tc>
        <w:tc>
          <w:tcPr>
            <w:tcW w:w="3180" w:type="dxa"/>
            <w:tcMar>
              <w:top w:w="0" w:type="dxa"/>
              <w:bottom w:w="0" w:type="dxa"/>
            </w:tcMar>
            <w:vAlign w:val="center"/>
          </w:tcPr>
          <w:p w14:paraId="30CF55DC" w14:textId="77777777" w:rsidR="00A56A20"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D1D9F22" w14:textId="77777777" w:rsidR="00A56A20" w:rsidRDefault="00000000">
            <w:pPr>
              <w:keepNext/>
              <w:keepLines/>
              <w:spacing w:after="0" w:line="240" w:lineRule="auto"/>
            </w:pPr>
            <w:r>
              <w:rPr>
                <w:sz w:val="18"/>
              </w:rPr>
              <w:t>6526</w:t>
            </w:r>
          </w:p>
        </w:tc>
        <w:tc>
          <w:tcPr>
            <w:tcW w:w="1860" w:type="dxa"/>
            <w:tcMar>
              <w:top w:w="0" w:type="dxa"/>
              <w:bottom w:w="0" w:type="dxa"/>
            </w:tcMar>
            <w:vAlign w:val="center"/>
          </w:tcPr>
          <w:p w14:paraId="146E9666" w14:textId="77777777" w:rsidR="00A56A20" w:rsidRDefault="00000000">
            <w:pPr>
              <w:keepNext/>
              <w:keepLines/>
              <w:spacing w:after="0" w:line="240" w:lineRule="auto"/>
              <w:jc w:val="right"/>
            </w:pPr>
            <w:r>
              <w:rPr>
                <w:sz w:val="18"/>
              </w:rPr>
              <w:t>10.945,16</w:t>
            </w:r>
          </w:p>
        </w:tc>
        <w:tc>
          <w:tcPr>
            <w:tcW w:w="1860" w:type="dxa"/>
            <w:tcMar>
              <w:top w:w="0" w:type="dxa"/>
              <w:bottom w:w="0" w:type="dxa"/>
            </w:tcMar>
            <w:vAlign w:val="center"/>
          </w:tcPr>
          <w:p w14:paraId="718C7F9F" w14:textId="77777777" w:rsidR="00A56A20" w:rsidRDefault="00000000">
            <w:pPr>
              <w:keepNext/>
              <w:keepLines/>
              <w:spacing w:after="0" w:line="240" w:lineRule="auto"/>
              <w:jc w:val="right"/>
            </w:pPr>
            <w:r>
              <w:rPr>
                <w:sz w:val="18"/>
              </w:rPr>
              <w:t>13.095,00</w:t>
            </w:r>
          </w:p>
        </w:tc>
        <w:tc>
          <w:tcPr>
            <w:tcW w:w="700" w:type="dxa"/>
            <w:tcMar>
              <w:top w:w="0" w:type="dxa"/>
              <w:bottom w:w="0" w:type="dxa"/>
            </w:tcMar>
            <w:vAlign w:val="center"/>
          </w:tcPr>
          <w:p w14:paraId="3608FC49" w14:textId="77777777" w:rsidR="00A56A20" w:rsidRDefault="00000000">
            <w:pPr>
              <w:keepNext/>
              <w:keepLines/>
              <w:spacing w:after="0" w:line="240" w:lineRule="auto"/>
              <w:jc w:val="right"/>
            </w:pPr>
            <w:r>
              <w:rPr>
                <w:sz w:val="18"/>
              </w:rPr>
              <w:t>119,6</w:t>
            </w:r>
          </w:p>
        </w:tc>
      </w:tr>
    </w:tbl>
    <w:p w14:paraId="0C08EDCA" w14:textId="77777777" w:rsidR="00A56A20" w:rsidRDefault="00A56A20">
      <w:pPr>
        <w:spacing w:after="0"/>
      </w:pPr>
    </w:p>
    <w:p w14:paraId="4D97189A" w14:textId="77777777" w:rsidR="00A56A20" w:rsidRDefault="00000000">
      <w:r>
        <w:t>Ostali nespomenuti prihodi - šifra 6526 - iznose 13.095,00 eura i bilježe rast indeksa od 119,6 u odnosu na isto razdoblje prethodne godine. Do rasta prihoda dolazi zbog bolje naplate prihoda za sufinanciranje usluge produženog boravka.</w:t>
      </w:r>
    </w:p>
    <w:p w14:paraId="3897AAF5" w14:textId="77777777" w:rsidR="00A56A20" w:rsidRDefault="00A56A20"/>
    <w:p w14:paraId="2D8638C5" w14:textId="77777777" w:rsidR="00A56A20"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4368F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CA726"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E51E84"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09342"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E14A1"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A5388"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436997" w14:textId="77777777" w:rsidR="00A56A20" w:rsidRDefault="00000000">
            <w:pPr>
              <w:keepNext/>
              <w:keepLines/>
              <w:spacing w:after="0" w:line="240" w:lineRule="auto"/>
              <w:jc w:val="center"/>
            </w:pPr>
            <w:r>
              <w:rPr>
                <w:b/>
                <w:sz w:val="18"/>
              </w:rPr>
              <w:t>Indeks (%)</w:t>
            </w:r>
          </w:p>
        </w:tc>
      </w:tr>
      <w:tr w:rsidR="00A56A20" w14:paraId="0AC7AE63" w14:textId="77777777">
        <w:tblPrEx>
          <w:tblCellMar>
            <w:top w:w="0" w:type="dxa"/>
            <w:bottom w:w="0" w:type="dxa"/>
          </w:tblCellMar>
        </w:tblPrEx>
        <w:trPr>
          <w:cantSplit/>
          <w:trHeight w:val="560"/>
        </w:trPr>
        <w:tc>
          <w:tcPr>
            <w:tcW w:w="700" w:type="dxa"/>
            <w:tcMar>
              <w:top w:w="0" w:type="dxa"/>
              <w:bottom w:w="0" w:type="dxa"/>
            </w:tcMar>
            <w:vAlign w:val="center"/>
          </w:tcPr>
          <w:p w14:paraId="3C3ABCA0" w14:textId="77777777" w:rsidR="00A56A20" w:rsidRDefault="00000000">
            <w:pPr>
              <w:keepNext/>
              <w:keepLines/>
              <w:spacing w:after="0" w:line="240" w:lineRule="auto"/>
            </w:pPr>
            <w:r>
              <w:rPr>
                <w:sz w:val="18"/>
              </w:rPr>
              <w:t>6615</w:t>
            </w:r>
          </w:p>
        </w:tc>
        <w:tc>
          <w:tcPr>
            <w:tcW w:w="3180" w:type="dxa"/>
            <w:tcMar>
              <w:top w:w="0" w:type="dxa"/>
              <w:bottom w:w="0" w:type="dxa"/>
            </w:tcMar>
            <w:vAlign w:val="center"/>
          </w:tcPr>
          <w:p w14:paraId="346312B4" w14:textId="77777777" w:rsidR="00A56A20"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57D14F4B" w14:textId="77777777" w:rsidR="00A56A20" w:rsidRDefault="00000000">
            <w:pPr>
              <w:keepNext/>
              <w:keepLines/>
              <w:spacing w:after="0" w:line="240" w:lineRule="auto"/>
            </w:pPr>
            <w:r>
              <w:rPr>
                <w:sz w:val="18"/>
              </w:rPr>
              <w:t>6615</w:t>
            </w:r>
          </w:p>
        </w:tc>
        <w:tc>
          <w:tcPr>
            <w:tcW w:w="1860" w:type="dxa"/>
            <w:tcMar>
              <w:top w:w="0" w:type="dxa"/>
              <w:bottom w:w="0" w:type="dxa"/>
            </w:tcMar>
            <w:vAlign w:val="center"/>
          </w:tcPr>
          <w:p w14:paraId="13DBCA2A" w14:textId="77777777" w:rsidR="00A56A20" w:rsidRDefault="00000000">
            <w:pPr>
              <w:keepNext/>
              <w:keepLines/>
              <w:spacing w:after="0" w:line="240" w:lineRule="auto"/>
              <w:jc w:val="right"/>
            </w:pPr>
            <w:r>
              <w:rPr>
                <w:sz w:val="18"/>
              </w:rPr>
              <w:t>447,97</w:t>
            </w:r>
          </w:p>
        </w:tc>
        <w:tc>
          <w:tcPr>
            <w:tcW w:w="1860" w:type="dxa"/>
            <w:tcMar>
              <w:top w:w="0" w:type="dxa"/>
              <w:bottom w:w="0" w:type="dxa"/>
            </w:tcMar>
            <w:vAlign w:val="center"/>
          </w:tcPr>
          <w:p w14:paraId="71E75F88" w14:textId="77777777" w:rsidR="00A56A20" w:rsidRDefault="00000000">
            <w:pPr>
              <w:keepNext/>
              <w:keepLines/>
              <w:spacing w:after="0" w:line="240" w:lineRule="auto"/>
              <w:jc w:val="right"/>
            </w:pPr>
            <w:r>
              <w:rPr>
                <w:sz w:val="18"/>
              </w:rPr>
              <w:t>288,00</w:t>
            </w:r>
          </w:p>
        </w:tc>
        <w:tc>
          <w:tcPr>
            <w:tcW w:w="700" w:type="dxa"/>
            <w:tcMar>
              <w:top w:w="0" w:type="dxa"/>
              <w:bottom w:w="0" w:type="dxa"/>
            </w:tcMar>
            <w:vAlign w:val="center"/>
          </w:tcPr>
          <w:p w14:paraId="5448E009" w14:textId="77777777" w:rsidR="00A56A20" w:rsidRDefault="00000000">
            <w:pPr>
              <w:keepNext/>
              <w:keepLines/>
              <w:spacing w:after="0" w:line="240" w:lineRule="auto"/>
              <w:jc w:val="right"/>
            </w:pPr>
            <w:r>
              <w:rPr>
                <w:sz w:val="18"/>
              </w:rPr>
              <w:t>64,3</w:t>
            </w:r>
          </w:p>
        </w:tc>
      </w:tr>
    </w:tbl>
    <w:p w14:paraId="2979BBC5" w14:textId="77777777" w:rsidR="00A56A20" w:rsidRDefault="00A56A20">
      <w:pPr>
        <w:spacing w:after="0"/>
      </w:pPr>
    </w:p>
    <w:p w14:paraId="3E254A0F" w14:textId="77777777" w:rsidR="00A56A20" w:rsidRDefault="00000000">
      <w:pPr>
        <w:jc w:val="both"/>
      </w:pPr>
      <w:r>
        <w:t xml:space="preserve">Prihodi od pruženih usluga - šifra 6615 - iznose 288,00 eura i bilježe pad indeksa na 64,3 jer je  u istom razdoblju prošle godine  škola ostvarila prihod od prodaje viška električne energije putem </w:t>
      </w:r>
      <w:proofErr w:type="spellStart"/>
      <w:r>
        <w:t>fotonaposnskih</w:t>
      </w:r>
      <w:proofErr w:type="spellEnd"/>
      <w:r>
        <w:t xml:space="preserve"> </w:t>
      </w:r>
      <w:proofErr w:type="spellStart"/>
      <w:r>
        <w:t>čelija</w:t>
      </w:r>
      <w:proofErr w:type="spellEnd"/>
      <w:r>
        <w:t xml:space="preserve"> u iznosu od 336,97 eura.  </w:t>
      </w:r>
    </w:p>
    <w:p w14:paraId="379704F4" w14:textId="77777777" w:rsidR="00A56A20" w:rsidRDefault="00A56A20"/>
    <w:p w14:paraId="37A5E6DF" w14:textId="77777777" w:rsidR="00A56A2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82FE1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6D7D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E45E34"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EC2CA"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38750"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EAF04A"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1113C2" w14:textId="77777777" w:rsidR="00A56A20" w:rsidRDefault="00000000">
            <w:pPr>
              <w:keepNext/>
              <w:keepLines/>
              <w:spacing w:after="0" w:line="240" w:lineRule="auto"/>
              <w:jc w:val="center"/>
            </w:pPr>
            <w:r>
              <w:rPr>
                <w:b/>
                <w:sz w:val="18"/>
              </w:rPr>
              <w:t>Indeks (%)</w:t>
            </w:r>
          </w:p>
        </w:tc>
      </w:tr>
      <w:tr w:rsidR="00A56A20" w14:paraId="52F625BF" w14:textId="77777777">
        <w:tblPrEx>
          <w:tblCellMar>
            <w:top w:w="0" w:type="dxa"/>
            <w:bottom w:w="0" w:type="dxa"/>
          </w:tblCellMar>
        </w:tblPrEx>
        <w:trPr>
          <w:cantSplit/>
          <w:trHeight w:val="560"/>
        </w:trPr>
        <w:tc>
          <w:tcPr>
            <w:tcW w:w="700" w:type="dxa"/>
            <w:tcMar>
              <w:top w:w="0" w:type="dxa"/>
              <w:bottom w:w="0" w:type="dxa"/>
            </w:tcMar>
            <w:vAlign w:val="center"/>
          </w:tcPr>
          <w:p w14:paraId="0FE1440C" w14:textId="77777777" w:rsidR="00A56A20" w:rsidRDefault="00000000">
            <w:pPr>
              <w:keepNext/>
              <w:keepLines/>
              <w:spacing w:after="0" w:line="240" w:lineRule="auto"/>
            </w:pPr>
            <w:r>
              <w:rPr>
                <w:sz w:val="18"/>
              </w:rPr>
              <w:t>6631</w:t>
            </w:r>
          </w:p>
        </w:tc>
        <w:tc>
          <w:tcPr>
            <w:tcW w:w="3180" w:type="dxa"/>
            <w:tcMar>
              <w:top w:w="0" w:type="dxa"/>
              <w:bottom w:w="0" w:type="dxa"/>
            </w:tcMar>
            <w:vAlign w:val="center"/>
          </w:tcPr>
          <w:p w14:paraId="4FFC3422" w14:textId="77777777" w:rsidR="00A56A20" w:rsidRDefault="00000000">
            <w:pPr>
              <w:keepNext/>
              <w:keepLines/>
              <w:spacing w:after="0" w:line="240" w:lineRule="auto"/>
            </w:pPr>
            <w:r>
              <w:rPr>
                <w:sz w:val="18"/>
              </w:rPr>
              <w:t>Tekuće donacije</w:t>
            </w:r>
          </w:p>
        </w:tc>
        <w:tc>
          <w:tcPr>
            <w:tcW w:w="700" w:type="dxa"/>
            <w:tcMar>
              <w:top w:w="0" w:type="dxa"/>
              <w:bottom w:w="0" w:type="dxa"/>
            </w:tcMar>
            <w:vAlign w:val="center"/>
          </w:tcPr>
          <w:p w14:paraId="1968E9E6" w14:textId="77777777" w:rsidR="00A56A20" w:rsidRDefault="00000000">
            <w:pPr>
              <w:keepNext/>
              <w:keepLines/>
              <w:spacing w:after="0" w:line="240" w:lineRule="auto"/>
            </w:pPr>
            <w:r>
              <w:rPr>
                <w:sz w:val="18"/>
              </w:rPr>
              <w:t>6631</w:t>
            </w:r>
          </w:p>
        </w:tc>
        <w:tc>
          <w:tcPr>
            <w:tcW w:w="1860" w:type="dxa"/>
            <w:tcMar>
              <w:top w:w="0" w:type="dxa"/>
              <w:bottom w:w="0" w:type="dxa"/>
            </w:tcMar>
            <w:vAlign w:val="center"/>
          </w:tcPr>
          <w:p w14:paraId="68E1E575" w14:textId="77777777" w:rsidR="00A56A20" w:rsidRDefault="00000000">
            <w:pPr>
              <w:keepNext/>
              <w:keepLines/>
              <w:spacing w:after="0" w:line="240" w:lineRule="auto"/>
              <w:jc w:val="right"/>
            </w:pPr>
            <w:r>
              <w:rPr>
                <w:sz w:val="18"/>
              </w:rPr>
              <w:t>30,00</w:t>
            </w:r>
          </w:p>
        </w:tc>
        <w:tc>
          <w:tcPr>
            <w:tcW w:w="1860" w:type="dxa"/>
            <w:tcMar>
              <w:top w:w="0" w:type="dxa"/>
              <w:bottom w:w="0" w:type="dxa"/>
            </w:tcMar>
            <w:vAlign w:val="center"/>
          </w:tcPr>
          <w:p w14:paraId="3D2CAF97" w14:textId="77777777" w:rsidR="00A56A20" w:rsidRDefault="00000000">
            <w:pPr>
              <w:keepNext/>
              <w:keepLines/>
              <w:spacing w:after="0" w:line="240" w:lineRule="auto"/>
              <w:jc w:val="right"/>
            </w:pPr>
            <w:r>
              <w:rPr>
                <w:sz w:val="18"/>
              </w:rPr>
              <w:t>50,00</w:t>
            </w:r>
          </w:p>
        </w:tc>
        <w:tc>
          <w:tcPr>
            <w:tcW w:w="700" w:type="dxa"/>
            <w:tcMar>
              <w:top w:w="0" w:type="dxa"/>
              <w:bottom w:w="0" w:type="dxa"/>
            </w:tcMar>
            <w:vAlign w:val="center"/>
          </w:tcPr>
          <w:p w14:paraId="765917E2" w14:textId="77777777" w:rsidR="00A56A20" w:rsidRDefault="00000000">
            <w:pPr>
              <w:keepNext/>
              <w:keepLines/>
              <w:spacing w:after="0" w:line="240" w:lineRule="auto"/>
              <w:jc w:val="right"/>
            </w:pPr>
            <w:r>
              <w:rPr>
                <w:sz w:val="18"/>
              </w:rPr>
              <w:t>166,7</w:t>
            </w:r>
          </w:p>
        </w:tc>
      </w:tr>
    </w:tbl>
    <w:p w14:paraId="4812F8E9" w14:textId="77777777" w:rsidR="00A56A20" w:rsidRDefault="00A56A20">
      <w:pPr>
        <w:spacing w:after="0"/>
      </w:pPr>
    </w:p>
    <w:p w14:paraId="1AE3EB66" w14:textId="77777777" w:rsidR="00A56A20" w:rsidRDefault="00000000">
      <w:r>
        <w:t>Tekuće donacije - šifra 6631 - iznose 50,00 eura i bilježe veliki rast indeksa na 166,7 a radi se ustvari o beznačajnoj razlici od 20,00 eura, u odnosu na isto razdoblje prethodne godine.</w:t>
      </w:r>
    </w:p>
    <w:p w14:paraId="34CA58FC" w14:textId="77777777" w:rsidR="00A56A20" w:rsidRDefault="00A56A20"/>
    <w:p w14:paraId="51C48679" w14:textId="77777777" w:rsidR="00A56A2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9BF1E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67C25F"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989E5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002655"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CB6ED5"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67C70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4C50A8" w14:textId="77777777" w:rsidR="00A56A20" w:rsidRDefault="00000000">
            <w:pPr>
              <w:keepNext/>
              <w:keepLines/>
              <w:spacing w:after="0" w:line="240" w:lineRule="auto"/>
              <w:jc w:val="center"/>
            </w:pPr>
            <w:r>
              <w:rPr>
                <w:b/>
                <w:sz w:val="18"/>
              </w:rPr>
              <w:t>Indeks (%)</w:t>
            </w:r>
          </w:p>
        </w:tc>
      </w:tr>
      <w:tr w:rsidR="00A56A20" w14:paraId="6159FB3E" w14:textId="77777777">
        <w:tblPrEx>
          <w:tblCellMar>
            <w:top w:w="0" w:type="dxa"/>
            <w:bottom w:w="0" w:type="dxa"/>
          </w:tblCellMar>
        </w:tblPrEx>
        <w:trPr>
          <w:cantSplit/>
          <w:trHeight w:val="560"/>
        </w:trPr>
        <w:tc>
          <w:tcPr>
            <w:tcW w:w="700" w:type="dxa"/>
            <w:tcMar>
              <w:top w:w="0" w:type="dxa"/>
              <w:bottom w:w="0" w:type="dxa"/>
            </w:tcMar>
            <w:vAlign w:val="center"/>
          </w:tcPr>
          <w:p w14:paraId="33FF8D9F" w14:textId="77777777" w:rsidR="00A56A20" w:rsidRDefault="00000000">
            <w:pPr>
              <w:keepNext/>
              <w:keepLines/>
              <w:spacing w:after="0" w:line="240" w:lineRule="auto"/>
            </w:pPr>
            <w:r>
              <w:rPr>
                <w:sz w:val="18"/>
              </w:rPr>
              <w:t>6711</w:t>
            </w:r>
          </w:p>
        </w:tc>
        <w:tc>
          <w:tcPr>
            <w:tcW w:w="3180" w:type="dxa"/>
            <w:tcMar>
              <w:top w:w="0" w:type="dxa"/>
              <w:bottom w:w="0" w:type="dxa"/>
            </w:tcMar>
            <w:vAlign w:val="center"/>
          </w:tcPr>
          <w:p w14:paraId="6DE8EBFE" w14:textId="77777777" w:rsidR="00A56A20"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BB26A4F" w14:textId="77777777" w:rsidR="00A56A20" w:rsidRDefault="00000000">
            <w:pPr>
              <w:keepNext/>
              <w:keepLines/>
              <w:spacing w:after="0" w:line="240" w:lineRule="auto"/>
            </w:pPr>
            <w:r>
              <w:rPr>
                <w:sz w:val="18"/>
              </w:rPr>
              <w:t>6711</w:t>
            </w:r>
          </w:p>
        </w:tc>
        <w:tc>
          <w:tcPr>
            <w:tcW w:w="1860" w:type="dxa"/>
            <w:tcMar>
              <w:top w:w="0" w:type="dxa"/>
              <w:bottom w:w="0" w:type="dxa"/>
            </w:tcMar>
            <w:vAlign w:val="center"/>
          </w:tcPr>
          <w:p w14:paraId="26A51611" w14:textId="77777777" w:rsidR="00A56A20" w:rsidRDefault="00000000">
            <w:pPr>
              <w:keepNext/>
              <w:keepLines/>
              <w:spacing w:after="0" w:line="240" w:lineRule="auto"/>
              <w:jc w:val="right"/>
            </w:pPr>
            <w:r>
              <w:rPr>
                <w:sz w:val="18"/>
              </w:rPr>
              <w:t>203.700,21</w:t>
            </w:r>
          </w:p>
        </w:tc>
        <w:tc>
          <w:tcPr>
            <w:tcW w:w="1860" w:type="dxa"/>
            <w:tcMar>
              <w:top w:w="0" w:type="dxa"/>
              <w:bottom w:w="0" w:type="dxa"/>
            </w:tcMar>
            <w:vAlign w:val="center"/>
          </w:tcPr>
          <w:p w14:paraId="264C5AF3" w14:textId="77777777" w:rsidR="00A56A20" w:rsidRDefault="00000000">
            <w:pPr>
              <w:keepNext/>
              <w:keepLines/>
              <w:spacing w:after="0" w:line="240" w:lineRule="auto"/>
              <w:jc w:val="right"/>
            </w:pPr>
            <w:r>
              <w:rPr>
                <w:sz w:val="18"/>
              </w:rPr>
              <w:t>147.319,94</w:t>
            </w:r>
          </w:p>
        </w:tc>
        <w:tc>
          <w:tcPr>
            <w:tcW w:w="700" w:type="dxa"/>
            <w:tcMar>
              <w:top w:w="0" w:type="dxa"/>
              <w:bottom w:w="0" w:type="dxa"/>
            </w:tcMar>
            <w:vAlign w:val="center"/>
          </w:tcPr>
          <w:p w14:paraId="5A49EEC6" w14:textId="77777777" w:rsidR="00A56A20" w:rsidRDefault="00000000">
            <w:pPr>
              <w:keepNext/>
              <w:keepLines/>
              <w:spacing w:after="0" w:line="240" w:lineRule="auto"/>
              <w:jc w:val="right"/>
            </w:pPr>
            <w:r>
              <w:rPr>
                <w:sz w:val="18"/>
              </w:rPr>
              <w:t>72,3</w:t>
            </w:r>
          </w:p>
        </w:tc>
      </w:tr>
    </w:tbl>
    <w:p w14:paraId="54086725" w14:textId="77777777" w:rsidR="00A56A20" w:rsidRDefault="00A56A20">
      <w:pPr>
        <w:spacing w:after="0"/>
      </w:pPr>
    </w:p>
    <w:p w14:paraId="6169C650" w14:textId="77777777" w:rsidR="00A56A20" w:rsidRDefault="00000000">
      <w:pPr>
        <w:jc w:val="both"/>
      </w:pPr>
      <w:r>
        <w:t>Prihodi iz nadležnog proračuna za financiranje rashoda poslovanja - šifra 6711 - ostvareni su u iznosu od 147.319,94 eura te bilježe pad indeksa na 72,3. Do manjih prihoda i pada indeksa dolazi zato što je početkom 2025. godine  uplaćen prihod za pokriće metodološkog manjka iz 2024. godine iz ovog izvora financiranja koji je iznosio skoro 123.000,00 eura. Računi za ove rashode knjiženi su u prosincu 2024. godine, a prihod je evidentiran u siječnju 2025. godine. Metodološki za 2025. godinu, za koji je prihod  uplaćen početkom 2026. godine, je upola manji. </w:t>
      </w:r>
    </w:p>
    <w:p w14:paraId="31E9DD08" w14:textId="77777777" w:rsidR="00A56A20" w:rsidRDefault="00A56A20"/>
    <w:p w14:paraId="73D139F2" w14:textId="77777777" w:rsidR="00A56A20"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590739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8E20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F46D7A"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8C4F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974A0"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0BF4D2"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BD5D5" w14:textId="77777777" w:rsidR="00A56A20" w:rsidRDefault="00000000">
            <w:pPr>
              <w:keepNext/>
              <w:keepLines/>
              <w:spacing w:after="0" w:line="240" w:lineRule="auto"/>
              <w:jc w:val="center"/>
            </w:pPr>
            <w:r>
              <w:rPr>
                <w:b/>
                <w:sz w:val="18"/>
              </w:rPr>
              <w:t>Indeks (%)</w:t>
            </w:r>
          </w:p>
        </w:tc>
      </w:tr>
      <w:tr w:rsidR="00A56A20" w14:paraId="7B162456" w14:textId="77777777">
        <w:tblPrEx>
          <w:tblCellMar>
            <w:top w:w="0" w:type="dxa"/>
            <w:bottom w:w="0" w:type="dxa"/>
          </w:tblCellMar>
        </w:tblPrEx>
        <w:trPr>
          <w:cantSplit/>
          <w:trHeight w:val="560"/>
        </w:trPr>
        <w:tc>
          <w:tcPr>
            <w:tcW w:w="700" w:type="dxa"/>
            <w:tcMar>
              <w:top w:w="0" w:type="dxa"/>
              <w:bottom w:w="0" w:type="dxa"/>
            </w:tcMar>
            <w:vAlign w:val="center"/>
          </w:tcPr>
          <w:p w14:paraId="0531E2FD" w14:textId="77777777" w:rsidR="00A56A20" w:rsidRDefault="00000000">
            <w:pPr>
              <w:keepNext/>
              <w:keepLines/>
              <w:spacing w:after="0" w:line="240" w:lineRule="auto"/>
            </w:pPr>
            <w:r>
              <w:rPr>
                <w:sz w:val="18"/>
              </w:rPr>
              <w:t>6712</w:t>
            </w:r>
          </w:p>
        </w:tc>
        <w:tc>
          <w:tcPr>
            <w:tcW w:w="3180" w:type="dxa"/>
            <w:tcMar>
              <w:top w:w="0" w:type="dxa"/>
              <w:bottom w:w="0" w:type="dxa"/>
            </w:tcMar>
            <w:vAlign w:val="center"/>
          </w:tcPr>
          <w:p w14:paraId="65DDAAB9" w14:textId="77777777" w:rsidR="00A56A20"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3EB587F" w14:textId="77777777" w:rsidR="00A56A20" w:rsidRDefault="00000000">
            <w:pPr>
              <w:keepNext/>
              <w:keepLines/>
              <w:spacing w:after="0" w:line="240" w:lineRule="auto"/>
            </w:pPr>
            <w:r>
              <w:rPr>
                <w:sz w:val="18"/>
              </w:rPr>
              <w:t>6712</w:t>
            </w:r>
          </w:p>
        </w:tc>
        <w:tc>
          <w:tcPr>
            <w:tcW w:w="1860" w:type="dxa"/>
            <w:tcMar>
              <w:top w:w="0" w:type="dxa"/>
              <w:bottom w:w="0" w:type="dxa"/>
            </w:tcMar>
            <w:vAlign w:val="center"/>
          </w:tcPr>
          <w:p w14:paraId="76AEB914" w14:textId="77777777" w:rsidR="00A56A20" w:rsidRDefault="00000000">
            <w:pPr>
              <w:keepNext/>
              <w:keepLines/>
              <w:spacing w:after="0" w:line="240" w:lineRule="auto"/>
              <w:jc w:val="right"/>
            </w:pPr>
            <w:r>
              <w:rPr>
                <w:sz w:val="18"/>
              </w:rPr>
              <w:t>27.653,75</w:t>
            </w:r>
          </w:p>
        </w:tc>
        <w:tc>
          <w:tcPr>
            <w:tcW w:w="1860" w:type="dxa"/>
            <w:tcMar>
              <w:top w:w="0" w:type="dxa"/>
              <w:bottom w:w="0" w:type="dxa"/>
            </w:tcMar>
            <w:vAlign w:val="center"/>
          </w:tcPr>
          <w:p w14:paraId="27FF3645" w14:textId="77777777" w:rsidR="00A56A20" w:rsidRDefault="00000000">
            <w:pPr>
              <w:keepNext/>
              <w:keepLines/>
              <w:spacing w:after="0" w:line="240" w:lineRule="auto"/>
              <w:jc w:val="right"/>
            </w:pPr>
            <w:r>
              <w:rPr>
                <w:sz w:val="18"/>
              </w:rPr>
              <w:t>2.575,25</w:t>
            </w:r>
          </w:p>
        </w:tc>
        <w:tc>
          <w:tcPr>
            <w:tcW w:w="700" w:type="dxa"/>
            <w:tcMar>
              <w:top w:w="0" w:type="dxa"/>
              <w:bottom w:w="0" w:type="dxa"/>
            </w:tcMar>
            <w:vAlign w:val="center"/>
          </w:tcPr>
          <w:p w14:paraId="04D1AE3E" w14:textId="77777777" w:rsidR="00A56A20" w:rsidRDefault="00000000">
            <w:pPr>
              <w:keepNext/>
              <w:keepLines/>
              <w:spacing w:after="0" w:line="240" w:lineRule="auto"/>
              <w:jc w:val="right"/>
            </w:pPr>
            <w:r>
              <w:rPr>
                <w:sz w:val="18"/>
              </w:rPr>
              <w:t>9,3</w:t>
            </w:r>
          </w:p>
        </w:tc>
      </w:tr>
    </w:tbl>
    <w:p w14:paraId="1B7CF0B4" w14:textId="77777777" w:rsidR="00A56A20" w:rsidRDefault="00A56A20">
      <w:pPr>
        <w:spacing w:after="0"/>
      </w:pPr>
    </w:p>
    <w:p w14:paraId="232AEDCD" w14:textId="77777777" w:rsidR="00A56A20" w:rsidRDefault="00000000">
      <w:pPr>
        <w:jc w:val="both"/>
      </w:pPr>
      <w:r>
        <w:t>Prihodi iz nadležnog proračuna za financiranje rashoda za nabavu nefinancijske imovine - šifra 6712 - evidentirani su u iznosu od 2.575,25 eura te bilježe pad indeksa na 9,3. U siječnju 2025. godine je uplaćen prihod za pokriće metodološkog manjka od nefinancijske imovine za 2024. godinu, u iznosu od 27.653,75 eura. U istom razdoblju ove godine ostvaren je prihod od 2.575,25 za financiranje rashoda za video nadzor u školskoj sportskoj dvorani.</w:t>
      </w:r>
    </w:p>
    <w:p w14:paraId="40F1A518" w14:textId="77777777" w:rsidR="00A56A20" w:rsidRDefault="00A56A20"/>
    <w:p w14:paraId="11575879" w14:textId="77777777" w:rsidR="00A56A2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74480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E9C9C2"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EE1355"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88762"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E9CD5"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73763D"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8BDA59" w14:textId="77777777" w:rsidR="00A56A20" w:rsidRDefault="00000000">
            <w:pPr>
              <w:keepNext/>
              <w:keepLines/>
              <w:spacing w:after="0" w:line="240" w:lineRule="auto"/>
              <w:jc w:val="center"/>
            </w:pPr>
            <w:r>
              <w:rPr>
                <w:b/>
                <w:sz w:val="18"/>
              </w:rPr>
              <w:t>Indeks (%)</w:t>
            </w:r>
          </w:p>
        </w:tc>
      </w:tr>
      <w:tr w:rsidR="00A56A20" w14:paraId="6EA460DF" w14:textId="77777777">
        <w:tblPrEx>
          <w:tblCellMar>
            <w:top w:w="0" w:type="dxa"/>
            <w:bottom w:w="0" w:type="dxa"/>
          </w:tblCellMar>
        </w:tblPrEx>
        <w:trPr>
          <w:cantSplit/>
          <w:trHeight w:val="560"/>
        </w:trPr>
        <w:tc>
          <w:tcPr>
            <w:tcW w:w="700" w:type="dxa"/>
            <w:tcMar>
              <w:top w:w="0" w:type="dxa"/>
              <w:bottom w:w="0" w:type="dxa"/>
            </w:tcMar>
            <w:vAlign w:val="center"/>
          </w:tcPr>
          <w:p w14:paraId="6A032F47" w14:textId="77777777" w:rsidR="00A56A20" w:rsidRDefault="00000000">
            <w:pPr>
              <w:keepNext/>
              <w:keepLines/>
              <w:spacing w:after="0" w:line="240" w:lineRule="auto"/>
            </w:pPr>
            <w:r>
              <w:rPr>
                <w:sz w:val="18"/>
              </w:rPr>
              <w:t>3</w:t>
            </w:r>
          </w:p>
        </w:tc>
        <w:tc>
          <w:tcPr>
            <w:tcW w:w="3180" w:type="dxa"/>
            <w:tcMar>
              <w:top w:w="0" w:type="dxa"/>
              <w:bottom w:w="0" w:type="dxa"/>
            </w:tcMar>
            <w:vAlign w:val="center"/>
          </w:tcPr>
          <w:p w14:paraId="1739A324" w14:textId="77777777" w:rsidR="00A56A2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9346895" w14:textId="77777777" w:rsidR="00A56A20" w:rsidRDefault="00000000">
            <w:pPr>
              <w:keepNext/>
              <w:keepLines/>
              <w:spacing w:after="0" w:line="240" w:lineRule="auto"/>
            </w:pPr>
            <w:r>
              <w:rPr>
                <w:sz w:val="18"/>
              </w:rPr>
              <w:t>3</w:t>
            </w:r>
          </w:p>
        </w:tc>
        <w:tc>
          <w:tcPr>
            <w:tcW w:w="1860" w:type="dxa"/>
            <w:tcMar>
              <w:top w:w="0" w:type="dxa"/>
              <w:bottom w:w="0" w:type="dxa"/>
            </w:tcMar>
            <w:vAlign w:val="center"/>
          </w:tcPr>
          <w:p w14:paraId="0A9CE111" w14:textId="77777777" w:rsidR="00A56A20" w:rsidRDefault="00000000">
            <w:pPr>
              <w:keepNext/>
              <w:keepLines/>
              <w:spacing w:after="0" w:line="240" w:lineRule="auto"/>
              <w:jc w:val="right"/>
            </w:pPr>
            <w:r>
              <w:rPr>
                <w:sz w:val="18"/>
              </w:rPr>
              <w:t>956.595,63</w:t>
            </w:r>
          </w:p>
        </w:tc>
        <w:tc>
          <w:tcPr>
            <w:tcW w:w="1860" w:type="dxa"/>
            <w:tcMar>
              <w:top w:w="0" w:type="dxa"/>
              <w:bottom w:w="0" w:type="dxa"/>
            </w:tcMar>
            <w:vAlign w:val="center"/>
          </w:tcPr>
          <w:p w14:paraId="3F7300D9" w14:textId="77777777" w:rsidR="00A56A20" w:rsidRDefault="00000000">
            <w:pPr>
              <w:keepNext/>
              <w:keepLines/>
              <w:spacing w:after="0" w:line="240" w:lineRule="auto"/>
              <w:jc w:val="right"/>
            </w:pPr>
            <w:r>
              <w:rPr>
                <w:sz w:val="18"/>
              </w:rPr>
              <w:t>813.977,88</w:t>
            </w:r>
          </w:p>
        </w:tc>
        <w:tc>
          <w:tcPr>
            <w:tcW w:w="700" w:type="dxa"/>
            <w:tcMar>
              <w:top w:w="0" w:type="dxa"/>
              <w:bottom w:w="0" w:type="dxa"/>
            </w:tcMar>
            <w:vAlign w:val="center"/>
          </w:tcPr>
          <w:p w14:paraId="39F45D19" w14:textId="77777777" w:rsidR="00A56A20" w:rsidRDefault="00000000">
            <w:pPr>
              <w:keepNext/>
              <w:keepLines/>
              <w:spacing w:after="0" w:line="240" w:lineRule="auto"/>
              <w:jc w:val="right"/>
            </w:pPr>
            <w:r>
              <w:rPr>
                <w:sz w:val="18"/>
              </w:rPr>
              <w:t>85,1</w:t>
            </w:r>
          </w:p>
        </w:tc>
      </w:tr>
    </w:tbl>
    <w:p w14:paraId="33252E38" w14:textId="77777777" w:rsidR="00A56A20" w:rsidRDefault="00A56A20">
      <w:pPr>
        <w:spacing w:after="0"/>
      </w:pPr>
    </w:p>
    <w:p w14:paraId="346AE0B4" w14:textId="77777777" w:rsidR="00A56A20" w:rsidRDefault="00000000">
      <w:pPr>
        <w:jc w:val="both"/>
      </w:pPr>
      <w:r>
        <w:t>Rashodi poslovanja evidentirani na šifri 3  iznose ukupno  813.977,88  eura. Do  pada indeksa na 85,1 najvećim dijelom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mjeseci u godini.  Na taj način je u razdoblju od 01.01. do 31.03.2025. godine  evidentiran rashod za četiri plaće dok je u razdoblju od 01.01. do 31.03.2026. godine evidentiran rashod za tri plaće. To se odnosi na plaće koje se obračunavaju  putem COP-a i financiraju iz izvora tekućih pomoći proračunskim korisnicima iz proračuna koji im nije nadležan. </w:t>
      </w:r>
    </w:p>
    <w:p w14:paraId="033B2260" w14:textId="77777777" w:rsidR="00A56A20" w:rsidRDefault="00A56A20"/>
    <w:p w14:paraId="0EA26D35" w14:textId="77777777" w:rsidR="00A56A2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46FF08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443C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E9ED22"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B0D23"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3E51C"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94480"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35E0D4" w14:textId="77777777" w:rsidR="00A56A20" w:rsidRDefault="00000000">
            <w:pPr>
              <w:keepNext/>
              <w:keepLines/>
              <w:spacing w:after="0" w:line="240" w:lineRule="auto"/>
              <w:jc w:val="center"/>
            </w:pPr>
            <w:r>
              <w:rPr>
                <w:b/>
                <w:sz w:val="18"/>
              </w:rPr>
              <w:t>Indeks (%)</w:t>
            </w:r>
          </w:p>
        </w:tc>
      </w:tr>
      <w:tr w:rsidR="00A56A20" w14:paraId="60EBE0AE" w14:textId="77777777">
        <w:tblPrEx>
          <w:tblCellMar>
            <w:top w:w="0" w:type="dxa"/>
            <w:bottom w:w="0" w:type="dxa"/>
          </w:tblCellMar>
        </w:tblPrEx>
        <w:trPr>
          <w:cantSplit/>
          <w:trHeight w:val="560"/>
        </w:trPr>
        <w:tc>
          <w:tcPr>
            <w:tcW w:w="700" w:type="dxa"/>
            <w:tcMar>
              <w:top w:w="0" w:type="dxa"/>
              <w:bottom w:w="0" w:type="dxa"/>
            </w:tcMar>
            <w:vAlign w:val="center"/>
          </w:tcPr>
          <w:p w14:paraId="40F3D8C0" w14:textId="77777777" w:rsidR="00A56A20" w:rsidRDefault="00000000">
            <w:pPr>
              <w:keepNext/>
              <w:keepLines/>
              <w:spacing w:after="0" w:line="240" w:lineRule="auto"/>
            </w:pPr>
            <w:r>
              <w:rPr>
                <w:sz w:val="18"/>
              </w:rPr>
              <w:t>3111</w:t>
            </w:r>
          </w:p>
        </w:tc>
        <w:tc>
          <w:tcPr>
            <w:tcW w:w="3180" w:type="dxa"/>
            <w:tcMar>
              <w:top w:w="0" w:type="dxa"/>
              <w:bottom w:w="0" w:type="dxa"/>
            </w:tcMar>
            <w:vAlign w:val="center"/>
          </w:tcPr>
          <w:p w14:paraId="65CF27B2" w14:textId="77777777" w:rsidR="00A56A20" w:rsidRDefault="00000000">
            <w:pPr>
              <w:keepNext/>
              <w:keepLines/>
              <w:spacing w:after="0" w:line="240" w:lineRule="auto"/>
            </w:pPr>
            <w:r>
              <w:rPr>
                <w:sz w:val="18"/>
              </w:rPr>
              <w:t>Plaće za redovan rad</w:t>
            </w:r>
          </w:p>
        </w:tc>
        <w:tc>
          <w:tcPr>
            <w:tcW w:w="700" w:type="dxa"/>
            <w:tcMar>
              <w:top w:w="0" w:type="dxa"/>
              <w:bottom w:w="0" w:type="dxa"/>
            </w:tcMar>
            <w:vAlign w:val="center"/>
          </w:tcPr>
          <w:p w14:paraId="5732D1B9" w14:textId="77777777" w:rsidR="00A56A20" w:rsidRDefault="00000000">
            <w:pPr>
              <w:keepNext/>
              <w:keepLines/>
              <w:spacing w:after="0" w:line="240" w:lineRule="auto"/>
            </w:pPr>
            <w:r>
              <w:rPr>
                <w:sz w:val="18"/>
              </w:rPr>
              <w:t>3111</w:t>
            </w:r>
          </w:p>
        </w:tc>
        <w:tc>
          <w:tcPr>
            <w:tcW w:w="1860" w:type="dxa"/>
            <w:tcMar>
              <w:top w:w="0" w:type="dxa"/>
              <w:bottom w:w="0" w:type="dxa"/>
            </w:tcMar>
            <w:vAlign w:val="center"/>
          </w:tcPr>
          <w:p w14:paraId="53A47BED" w14:textId="77777777" w:rsidR="00A56A20" w:rsidRDefault="00000000">
            <w:pPr>
              <w:keepNext/>
              <w:keepLines/>
              <w:spacing w:after="0" w:line="240" w:lineRule="auto"/>
              <w:jc w:val="right"/>
            </w:pPr>
            <w:r>
              <w:rPr>
                <w:sz w:val="18"/>
              </w:rPr>
              <w:t>612.166,95</w:t>
            </w:r>
          </w:p>
        </w:tc>
        <w:tc>
          <w:tcPr>
            <w:tcW w:w="1860" w:type="dxa"/>
            <w:tcMar>
              <w:top w:w="0" w:type="dxa"/>
              <w:bottom w:w="0" w:type="dxa"/>
            </w:tcMar>
            <w:vAlign w:val="center"/>
          </w:tcPr>
          <w:p w14:paraId="68330524" w14:textId="77777777" w:rsidR="00A56A20" w:rsidRDefault="00000000">
            <w:pPr>
              <w:keepNext/>
              <w:keepLines/>
              <w:spacing w:after="0" w:line="240" w:lineRule="auto"/>
              <w:jc w:val="right"/>
            </w:pPr>
            <w:r>
              <w:rPr>
                <w:sz w:val="18"/>
              </w:rPr>
              <w:t>506.998,32</w:t>
            </w:r>
          </w:p>
        </w:tc>
        <w:tc>
          <w:tcPr>
            <w:tcW w:w="700" w:type="dxa"/>
            <w:tcMar>
              <w:top w:w="0" w:type="dxa"/>
              <w:bottom w:w="0" w:type="dxa"/>
            </w:tcMar>
            <w:vAlign w:val="center"/>
          </w:tcPr>
          <w:p w14:paraId="08593250" w14:textId="77777777" w:rsidR="00A56A20" w:rsidRDefault="00000000">
            <w:pPr>
              <w:keepNext/>
              <w:keepLines/>
              <w:spacing w:after="0" w:line="240" w:lineRule="auto"/>
              <w:jc w:val="right"/>
            </w:pPr>
            <w:r>
              <w:rPr>
                <w:sz w:val="18"/>
              </w:rPr>
              <w:t>82,8</w:t>
            </w:r>
          </w:p>
        </w:tc>
      </w:tr>
    </w:tbl>
    <w:p w14:paraId="54176733" w14:textId="77777777" w:rsidR="00A56A20" w:rsidRDefault="00A56A20">
      <w:pPr>
        <w:spacing w:after="0"/>
      </w:pPr>
    </w:p>
    <w:p w14:paraId="20DEF043" w14:textId="77777777" w:rsidR="00A56A20" w:rsidRDefault="00000000">
      <w:pPr>
        <w:jc w:val="both"/>
      </w:pPr>
      <w:r>
        <w:t xml:space="preserve">Rashodi za Plaće za redovan rad evidentirani na šifri 3111  iznose ukupno  506.998,32  eura te bilježe pad indeksa na 82,8. Iako su plaće za prvo tromjesečje 2026. godine realno veće u odnosu na isto razdoblje prošle godine (zbog rasta plaća uslijed povećanja osnovice za plaću i povećanja broja zaposlenih) do pada indeksa dolazi zbog  promjene metodologije knjiženja plaća. Plaća za prosinac 2024. godine proknjižena je 31.12.2024. samo na konto obveza te na </w:t>
      </w:r>
      <w:r>
        <w:lastRenderedPageBreak/>
        <w:t>konto 19311 – kontinuirani rashodi budućih razdoblja. Rashod za plaću za prosinac 2024. knjižen je na konto rashoda tek 02.01.2025. Počevši od 01.01.2025. godine, rashodi za plaće se  odmah po obračunu knjiže na konto rashoda, zadnji dan u mjesecu, za sve mjesece u godini.  Na taj način je u razdoblju od 01.01. do 31.03.2025. godine  evidentiran rashod za četiri plaće dok je u razdoblju od 01.01. do 31.03.2026. godine evidentiran rashod za tri plaće. To se odnosi na plaće koje se obračunavaju  putem COP-a i financiraju iz izvora tekućih pomoći proračunskim korisnicima iz proračuna koji im nije nadležan.</w:t>
      </w:r>
    </w:p>
    <w:p w14:paraId="23B400ED" w14:textId="77777777" w:rsidR="00A56A20" w:rsidRDefault="00A56A20"/>
    <w:p w14:paraId="4B943B9F" w14:textId="77777777" w:rsidR="00A56A2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253FD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C00D18"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C30C64"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F146B"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F40A2"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DF791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364DCF" w14:textId="77777777" w:rsidR="00A56A20" w:rsidRDefault="00000000">
            <w:pPr>
              <w:keepNext/>
              <w:keepLines/>
              <w:spacing w:after="0" w:line="240" w:lineRule="auto"/>
              <w:jc w:val="center"/>
            </w:pPr>
            <w:r>
              <w:rPr>
                <w:b/>
                <w:sz w:val="18"/>
              </w:rPr>
              <w:t>Indeks (%)</w:t>
            </w:r>
          </w:p>
        </w:tc>
      </w:tr>
      <w:tr w:rsidR="00A56A20" w14:paraId="563C1671" w14:textId="77777777">
        <w:tblPrEx>
          <w:tblCellMar>
            <w:top w:w="0" w:type="dxa"/>
            <w:bottom w:w="0" w:type="dxa"/>
          </w:tblCellMar>
        </w:tblPrEx>
        <w:trPr>
          <w:cantSplit/>
          <w:trHeight w:val="560"/>
        </w:trPr>
        <w:tc>
          <w:tcPr>
            <w:tcW w:w="700" w:type="dxa"/>
            <w:tcMar>
              <w:top w:w="0" w:type="dxa"/>
              <w:bottom w:w="0" w:type="dxa"/>
            </w:tcMar>
            <w:vAlign w:val="center"/>
          </w:tcPr>
          <w:p w14:paraId="4B25893C" w14:textId="77777777" w:rsidR="00A56A20" w:rsidRDefault="00000000">
            <w:pPr>
              <w:keepNext/>
              <w:keepLines/>
              <w:spacing w:after="0" w:line="240" w:lineRule="auto"/>
            </w:pPr>
            <w:r>
              <w:rPr>
                <w:sz w:val="18"/>
              </w:rPr>
              <w:t>3113</w:t>
            </w:r>
          </w:p>
        </w:tc>
        <w:tc>
          <w:tcPr>
            <w:tcW w:w="3180" w:type="dxa"/>
            <w:tcMar>
              <w:top w:w="0" w:type="dxa"/>
              <w:bottom w:w="0" w:type="dxa"/>
            </w:tcMar>
            <w:vAlign w:val="center"/>
          </w:tcPr>
          <w:p w14:paraId="7A0E985D" w14:textId="77777777" w:rsidR="00A56A20" w:rsidRDefault="00000000">
            <w:pPr>
              <w:keepNext/>
              <w:keepLines/>
              <w:spacing w:after="0" w:line="240" w:lineRule="auto"/>
            </w:pPr>
            <w:r>
              <w:rPr>
                <w:sz w:val="18"/>
              </w:rPr>
              <w:t>Plaće za prekovremeni rad</w:t>
            </w:r>
          </w:p>
        </w:tc>
        <w:tc>
          <w:tcPr>
            <w:tcW w:w="700" w:type="dxa"/>
            <w:tcMar>
              <w:top w:w="0" w:type="dxa"/>
              <w:bottom w:w="0" w:type="dxa"/>
            </w:tcMar>
            <w:vAlign w:val="center"/>
          </w:tcPr>
          <w:p w14:paraId="1CF81243" w14:textId="77777777" w:rsidR="00A56A20" w:rsidRDefault="00000000">
            <w:pPr>
              <w:keepNext/>
              <w:keepLines/>
              <w:spacing w:after="0" w:line="240" w:lineRule="auto"/>
            </w:pPr>
            <w:r>
              <w:rPr>
                <w:sz w:val="18"/>
              </w:rPr>
              <w:t>3113</w:t>
            </w:r>
          </w:p>
        </w:tc>
        <w:tc>
          <w:tcPr>
            <w:tcW w:w="1860" w:type="dxa"/>
            <w:tcMar>
              <w:top w:w="0" w:type="dxa"/>
              <w:bottom w:w="0" w:type="dxa"/>
            </w:tcMar>
            <w:vAlign w:val="center"/>
          </w:tcPr>
          <w:p w14:paraId="73E14C29" w14:textId="77777777" w:rsidR="00A56A20" w:rsidRDefault="00000000">
            <w:pPr>
              <w:keepNext/>
              <w:keepLines/>
              <w:spacing w:after="0" w:line="240" w:lineRule="auto"/>
              <w:jc w:val="right"/>
            </w:pPr>
            <w:r>
              <w:rPr>
                <w:sz w:val="18"/>
              </w:rPr>
              <w:t>30.877,08</w:t>
            </w:r>
          </w:p>
        </w:tc>
        <w:tc>
          <w:tcPr>
            <w:tcW w:w="1860" w:type="dxa"/>
            <w:tcMar>
              <w:top w:w="0" w:type="dxa"/>
              <w:bottom w:w="0" w:type="dxa"/>
            </w:tcMar>
            <w:vAlign w:val="center"/>
          </w:tcPr>
          <w:p w14:paraId="2533A719" w14:textId="77777777" w:rsidR="00A56A20" w:rsidRDefault="00000000">
            <w:pPr>
              <w:keepNext/>
              <w:keepLines/>
              <w:spacing w:after="0" w:line="240" w:lineRule="auto"/>
              <w:jc w:val="right"/>
            </w:pPr>
            <w:r>
              <w:rPr>
                <w:sz w:val="18"/>
              </w:rPr>
              <w:t>25.378,08</w:t>
            </w:r>
          </w:p>
        </w:tc>
        <w:tc>
          <w:tcPr>
            <w:tcW w:w="700" w:type="dxa"/>
            <w:tcMar>
              <w:top w:w="0" w:type="dxa"/>
              <w:bottom w:w="0" w:type="dxa"/>
            </w:tcMar>
            <w:vAlign w:val="center"/>
          </w:tcPr>
          <w:p w14:paraId="499E3AA1" w14:textId="77777777" w:rsidR="00A56A20" w:rsidRDefault="00000000">
            <w:pPr>
              <w:keepNext/>
              <w:keepLines/>
              <w:spacing w:after="0" w:line="240" w:lineRule="auto"/>
              <w:jc w:val="right"/>
            </w:pPr>
            <w:r>
              <w:rPr>
                <w:sz w:val="18"/>
              </w:rPr>
              <w:t>82,2</w:t>
            </w:r>
          </w:p>
        </w:tc>
      </w:tr>
    </w:tbl>
    <w:p w14:paraId="5A35D2BA" w14:textId="77777777" w:rsidR="00A56A20" w:rsidRDefault="00A56A20">
      <w:pPr>
        <w:spacing w:after="0"/>
      </w:pPr>
    </w:p>
    <w:p w14:paraId="5DE21611" w14:textId="77777777" w:rsidR="00A56A20" w:rsidRDefault="00000000">
      <w:pPr>
        <w:jc w:val="both"/>
      </w:pPr>
      <w:r>
        <w:t>Rashodi za Plaće za prekovremeni rad evidentirani na šifri 3113  iznose ukupno  25.378,08  eura te bilježe pad indeksa na 82,2. Iako su plaće za prvo tromjesečje 2026. godine realno veće u odnosu na isto razdoblje prošle godine (zbog rasta plaća uslijed povećanja osnovice za plaću i povećanja broja zaposlenih) do pada indeksa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godini.  Na taj način je u razdoblju od 01.01. do 31.03.2025. godine  evidentiran rashod za četiri plaće dok je u razdoblju od 01.01. do 31.03.2026. godine evidentiran rashod za tri plaće. To se odnosi na plaće koje se obračunavaju  putem COP-a i financiraju iz izvora tekućih pomoći proračunskim korisnicima iz proračuna koji im nije nadležan.</w:t>
      </w:r>
    </w:p>
    <w:p w14:paraId="4575649D" w14:textId="77777777" w:rsidR="00A56A20" w:rsidRDefault="00A56A20"/>
    <w:p w14:paraId="43A1BE17" w14:textId="77777777" w:rsidR="00A56A2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D8D39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065724"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49D14D"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EF4CEB"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6693F6"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470DD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EC051E" w14:textId="77777777" w:rsidR="00A56A20" w:rsidRDefault="00000000">
            <w:pPr>
              <w:keepNext/>
              <w:keepLines/>
              <w:spacing w:after="0" w:line="240" w:lineRule="auto"/>
              <w:jc w:val="center"/>
            </w:pPr>
            <w:r>
              <w:rPr>
                <w:b/>
                <w:sz w:val="18"/>
              </w:rPr>
              <w:t>Indeks (%)</w:t>
            </w:r>
          </w:p>
        </w:tc>
      </w:tr>
      <w:tr w:rsidR="00A56A20" w14:paraId="34E8D6CF" w14:textId="77777777">
        <w:tblPrEx>
          <w:tblCellMar>
            <w:top w:w="0" w:type="dxa"/>
            <w:bottom w:w="0" w:type="dxa"/>
          </w:tblCellMar>
        </w:tblPrEx>
        <w:trPr>
          <w:cantSplit/>
          <w:trHeight w:val="560"/>
        </w:trPr>
        <w:tc>
          <w:tcPr>
            <w:tcW w:w="700" w:type="dxa"/>
            <w:tcMar>
              <w:top w:w="0" w:type="dxa"/>
              <w:bottom w:w="0" w:type="dxa"/>
            </w:tcMar>
            <w:vAlign w:val="center"/>
          </w:tcPr>
          <w:p w14:paraId="1DDCEE6F" w14:textId="77777777" w:rsidR="00A56A20" w:rsidRDefault="00000000">
            <w:pPr>
              <w:keepNext/>
              <w:keepLines/>
              <w:spacing w:after="0" w:line="240" w:lineRule="auto"/>
            </w:pPr>
            <w:r>
              <w:rPr>
                <w:sz w:val="18"/>
              </w:rPr>
              <w:t>3114</w:t>
            </w:r>
          </w:p>
        </w:tc>
        <w:tc>
          <w:tcPr>
            <w:tcW w:w="3180" w:type="dxa"/>
            <w:tcMar>
              <w:top w:w="0" w:type="dxa"/>
              <w:bottom w:w="0" w:type="dxa"/>
            </w:tcMar>
            <w:vAlign w:val="center"/>
          </w:tcPr>
          <w:p w14:paraId="3FB3E487" w14:textId="77777777" w:rsidR="00A56A20"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7352DE77" w14:textId="77777777" w:rsidR="00A56A20" w:rsidRDefault="00000000">
            <w:pPr>
              <w:keepNext/>
              <w:keepLines/>
              <w:spacing w:after="0" w:line="240" w:lineRule="auto"/>
            </w:pPr>
            <w:r>
              <w:rPr>
                <w:sz w:val="18"/>
              </w:rPr>
              <w:t>3114</w:t>
            </w:r>
          </w:p>
        </w:tc>
        <w:tc>
          <w:tcPr>
            <w:tcW w:w="1860" w:type="dxa"/>
            <w:tcMar>
              <w:top w:w="0" w:type="dxa"/>
              <w:bottom w:w="0" w:type="dxa"/>
            </w:tcMar>
            <w:vAlign w:val="center"/>
          </w:tcPr>
          <w:p w14:paraId="4D2D69C0" w14:textId="77777777" w:rsidR="00A56A20" w:rsidRDefault="00000000">
            <w:pPr>
              <w:keepNext/>
              <w:keepLines/>
              <w:spacing w:after="0" w:line="240" w:lineRule="auto"/>
              <w:jc w:val="right"/>
            </w:pPr>
            <w:r>
              <w:rPr>
                <w:sz w:val="18"/>
              </w:rPr>
              <w:t>16.588,70</w:t>
            </w:r>
          </w:p>
        </w:tc>
        <w:tc>
          <w:tcPr>
            <w:tcW w:w="1860" w:type="dxa"/>
            <w:tcMar>
              <w:top w:w="0" w:type="dxa"/>
              <w:bottom w:w="0" w:type="dxa"/>
            </w:tcMar>
            <w:vAlign w:val="center"/>
          </w:tcPr>
          <w:p w14:paraId="623EC197" w14:textId="77777777" w:rsidR="00A56A20" w:rsidRDefault="00000000">
            <w:pPr>
              <w:keepNext/>
              <w:keepLines/>
              <w:spacing w:after="0" w:line="240" w:lineRule="auto"/>
              <w:jc w:val="right"/>
            </w:pPr>
            <w:r>
              <w:rPr>
                <w:sz w:val="18"/>
              </w:rPr>
              <w:t>14.289,47</w:t>
            </w:r>
          </w:p>
        </w:tc>
        <w:tc>
          <w:tcPr>
            <w:tcW w:w="700" w:type="dxa"/>
            <w:tcMar>
              <w:top w:w="0" w:type="dxa"/>
              <w:bottom w:w="0" w:type="dxa"/>
            </w:tcMar>
            <w:vAlign w:val="center"/>
          </w:tcPr>
          <w:p w14:paraId="1C95ABB4" w14:textId="77777777" w:rsidR="00A56A20" w:rsidRDefault="00000000">
            <w:pPr>
              <w:keepNext/>
              <w:keepLines/>
              <w:spacing w:after="0" w:line="240" w:lineRule="auto"/>
              <w:jc w:val="right"/>
            </w:pPr>
            <w:r>
              <w:rPr>
                <w:sz w:val="18"/>
              </w:rPr>
              <w:t>86,1</w:t>
            </w:r>
          </w:p>
        </w:tc>
      </w:tr>
    </w:tbl>
    <w:p w14:paraId="63858270" w14:textId="77777777" w:rsidR="00A56A20" w:rsidRDefault="00A56A20">
      <w:pPr>
        <w:spacing w:after="0"/>
      </w:pPr>
    </w:p>
    <w:p w14:paraId="13E9E838" w14:textId="77777777" w:rsidR="00A56A20" w:rsidRDefault="00000000">
      <w:r>
        <w:t xml:space="preserve">Rashodi za Plaće za posebne uvjete rada evidentirani na šifri 3114  iznose 14.289,47  eura te bilježe pad indeksa na 86,1. Iako su plaće za prvo tromjesečje 2026. godine realno veće u odnosu na isto razdoblje prošle godine (zbog rasta plaća uslijed povećanja osnovice za plaću i povećanja broja zaposlenih) do pada indeksa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w:t>
      </w:r>
      <w:r>
        <w:lastRenderedPageBreak/>
        <w:t>godini.  Na taj način je u razdoblju od 01.01. do 31.03.2025. godine  evidentiran rashod za četiri plaće dok je u razdoblju od 01.01. do 31.03.2026. godine evidentiran rashod za tri plaće. To se odnosi na plaće koje se obračunavaju  putem COP-a i financiraju iz izvora tekućih pomoći proračunskim korisnicima iz proračuna koji im nije nadležan.</w:t>
      </w:r>
    </w:p>
    <w:p w14:paraId="0F7E648B" w14:textId="77777777" w:rsidR="00A56A20" w:rsidRDefault="00A56A20"/>
    <w:p w14:paraId="7EE3E4CF" w14:textId="77777777" w:rsidR="00A56A2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3F0C2F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DE1DF"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5EE77B"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30764"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F5987"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3A5BD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E34CF6" w14:textId="77777777" w:rsidR="00A56A20" w:rsidRDefault="00000000">
            <w:pPr>
              <w:keepNext/>
              <w:keepLines/>
              <w:spacing w:after="0" w:line="240" w:lineRule="auto"/>
              <w:jc w:val="center"/>
            </w:pPr>
            <w:r>
              <w:rPr>
                <w:b/>
                <w:sz w:val="18"/>
              </w:rPr>
              <w:t>Indeks (%)</w:t>
            </w:r>
          </w:p>
        </w:tc>
      </w:tr>
      <w:tr w:rsidR="00A56A20" w14:paraId="3B29DB20" w14:textId="77777777">
        <w:tblPrEx>
          <w:tblCellMar>
            <w:top w:w="0" w:type="dxa"/>
            <w:bottom w:w="0" w:type="dxa"/>
          </w:tblCellMar>
        </w:tblPrEx>
        <w:trPr>
          <w:cantSplit/>
          <w:trHeight w:val="560"/>
        </w:trPr>
        <w:tc>
          <w:tcPr>
            <w:tcW w:w="700" w:type="dxa"/>
            <w:tcMar>
              <w:top w:w="0" w:type="dxa"/>
              <w:bottom w:w="0" w:type="dxa"/>
            </w:tcMar>
            <w:vAlign w:val="center"/>
          </w:tcPr>
          <w:p w14:paraId="51914719" w14:textId="77777777" w:rsidR="00A56A20" w:rsidRDefault="00000000">
            <w:pPr>
              <w:keepNext/>
              <w:keepLines/>
              <w:spacing w:after="0" w:line="240" w:lineRule="auto"/>
            </w:pPr>
            <w:r>
              <w:rPr>
                <w:sz w:val="18"/>
              </w:rPr>
              <w:t>312</w:t>
            </w:r>
          </w:p>
        </w:tc>
        <w:tc>
          <w:tcPr>
            <w:tcW w:w="3180" w:type="dxa"/>
            <w:tcMar>
              <w:top w:w="0" w:type="dxa"/>
              <w:bottom w:w="0" w:type="dxa"/>
            </w:tcMar>
            <w:vAlign w:val="center"/>
          </w:tcPr>
          <w:p w14:paraId="4D615C34" w14:textId="77777777" w:rsidR="00A56A20"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B1B13BA" w14:textId="77777777" w:rsidR="00A56A20" w:rsidRDefault="00000000">
            <w:pPr>
              <w:keepNext/>
              <w:keepLines/>
              <w:spacing w:after="0" w:line="240" w:lineRule="auto"/>
            </w:pPr>
            <w:r>
              <w:rPr>
                <w:sz w:val="18"/>
              </w:rPr>
              <w:t>312</w:t>
            </w:r>
          </w:p>
        </w:tc>
        <w:tc>
          <w:tcPr>
            <w:tcW w:w="1860" w:type="dxa"/>
            <w:tcMar>
              <w:top w:w="0" w:type="dxa"/>
              <w:bottom w:w="0" w:type="dxa"/>
            </w:tcMar>
            <w:vAlign w:val="center"/>
          </w:tcPr>
          <w:p w14:paraId="48D0A26F" w14:textId="77777777" w:rsidR="00A56A20" w:rsidRDefault="00000000">
            <w:pPr>
              <w:keepNext/>
              <w:keepLines/>
              <w:spacing w:after="0" w:line="240" w:lineRule="auto"/>
              <w:jc w:val="right"/>
            </w:pPr>
            <w:r>
              <w:rPr>
                <w:sz w:val="18"/>
              </w:rPr>
              <w:t>4.063,21</w:t>
            </w:r>
          </w:p>
        </w:tc>
        <w:tc>
          <w:tcPr>
            <w:tcW w:w="1860" w:type="dxa"/>
            <w:tcMar>
              <w:top w:w="0" w:type="dxa"/>
              <w:bottom w:w="0" w:type="dxa"/>
            </w:tcMar>
            <w:vAlign w:val="center"/>
          </w:tcPr>
          <w:p w14:paraId="06F44A54" w14:textId="77777777" w:rsidR="00A56A20" w:rsidRDefault="00000000">
            <w:pPr>
              <w:keepNext/>
              <w:keepLines/>
              <w:spacing w:after="0" w:line="240" w:lineRule="auto"/>
              <w:jc w:val="right"/>
            </w:pPr>
            <w:r>
              <w:rPr>
                <w:sz w:val="18"/>
              </w:rPr>
              <w:t>3.600,85</w:t>
            </w:r>
          </w:p>
        </w:tc>
        <w:tc>
          <w:tcPr>
            <w:tcW w:w="700" w:type="dxa"/>
            <w:tcMar>
              <w:top w:w="0" w:type="dxa"/>
              <w:bottom w:w="0" w:type="dxa"/>
            </w:tcMar>
            <w:vAlign w:val="center"/>
          </w:tcPr>
          <w:p w14:paraId="64D42F5C" w14:textId="77777777" w:rsidR="00A56A20" w:rsidRDefault="00000000">
            <w:pPr>
              <w:keepNext/>
              <w:keepLines/>
              <w:spacing w:after="0" w:line="240" w:lineRule="auto"/>
              <w:jc w:val="right"/>
            </w:pPr>
            <w:r>
              <w:rPr>
                <w:sz w:val="18"/>
              </w:rPr>
              <w:t>88,6</w:t>
            </w:r>
          </w:p>
        </w:tc>
      </w:tr>
    </w:tbl>
    <w:p w14:paraId="4FC83A62" w14:textId="77777777" w:rsidR="00A56A20" w:rsidRDefault="00A56A20">
      <w:pPr>
        <w:spacing w:after="0"/>
      </w:pPr>
    </w:p>
    <w:p w14:paraId="4F74A0AF" w14:textId="77777777" w:rsidR="00A56A20" w:rsidRDefault="00000000">
      <w:r>
        <w:t>Ostali rashodi za zaposlene evidentirani na šifri  312 iznose 3.600,85 eura i bilježe pad indeksa na 88,6 jer je u ovom izvještajnom razdoblju isplaćeno manje ostalih rashoda (materijalna prava po kolektivnom ugovoru) u odnosu na isto razdoblje prethodne godine.</w:t>
      </w:r>
    </w:p>
    <w:p w14:paraId="484546AB" w14:textId="77777777" w:rsidR="00A56A20" w:rsidRDefault="00A56A20"/>
    <w:p w14:paraId="24B4F9F2" w14:textId="77777777" w:rsidR="00A56A2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00E3C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57B00"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AC90C7"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3B2412"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E3911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2154B"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37B457" w14:textId="77777777" w:rsidR="00A56A20" w:rsidRDefault="00000000">
            <w:pPr>
              <w:keepNext/>
              <w:keepLines/>
              <w:spacing w:after="0" w:line="240" w:lineRule="auto"/>
              <w:jc w:val="center"/>
            </w:pPr>
            <w:r>
              <w:rPr>
                <w:b/>
                <w:sz w:val="18"/>
              </w:rPr>
              <w:t>Indeks (%)</w:t>
            </w:r>
          </w:p>
        </w:tc>
      </w:tr>
      <w:tr w:rsidR="00A56A20" w14:paraId="537D266D" w14:textId="77777777">
        <w:tblPrEx>
          <w:tblCellMar>
            <w:top w:w="0" w:type="dxa"/>
            <w:bottom w:w="0" w:type="dxa"/>
          </w:tblCellMar>
        </w:tblPrEx>
        <w:trPr>
          <w:cantSplit/>
          <w:trHeight w:val="560"/>
        </w:trPr>
        <w:tc>
          <w:tcPr>
            <w:tcW w:w="700" w:type="dxa"/>
            <w:tcMar>
              <w:top w:w="0" w:type="dxa"/>
              <w:bottom w:w="0" w:type="dxa"/>
            </w:tcMar>
            <w:vAlign w:val="center"/>
          </w:tcPr>
          <w:p w14:paraId="6D25A59D" w14:textId="77777777" w:rsidR="00A56A20" w:rsidRDefault="00000000">
            <w:pPr>
              <w:keepNext/>
              <w:keepLines/>
              <w:spacing w:after="0" w:line="240" w:lineRule="auto"/>
            </w:pPr>
            <w:r>
              <w:rPr>
                <w:sz w:val="18"/>
              </w:rPr>
              <w:t>3132</w:t>
            </w:r>
          </w:p>
        </w:tc>
        <w:tc>
          <w:tcPr>
            <w:tcW w:w="3180" w:type="dxa"/>
            <w:tcMar>
              <w:top w:w="0" w:type="dxa"/>
              <w:bottom w:w="0" w:type="dxa"/>
            </w:tcMar>
            <w:vAlign w:val="center"/>
          </w:tcPr>
          <w:p w14:paraId="584F59F7" w14:textId="77777777" w:rsidR="00A56A20"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773B4227" w14:textId="77777777" w:rsidR="00A56A20" w:rsidRDefault="00000000">
            <w:pPr>
              <w:keepNext/>
              <w:keepLines/>
              <w:spacing w:after="0" w:line="240" w:lineRule="auto"/>
            </w:pPr>
            <w:r>
              <w:rPr>
                <w:sz w:val="18"/>
              </w:rPr>
              <w:t>3132</w:t>
            </w:r>
          </w:p>
        </w:tc>
        <w:tc>
          <w:tcPr>
            <w:tcW w:w="1860" w:type="dxa"/>
            <w:tcMar>
              <w:top w:w="0" w:type="dxa"/>
              <w:bottom w:w="0" w:type="dxa"/>
            </w:tcMar>
            <w:vAlign w:val="center"/>
          </w:tcPr>
          <w:p w14:paraId="3765C1D0" w14:textId="77777777" w:rsidR="00A56A20" w:rsidRDefault="00000000">
            <w:pPr>
              <w:keepNext/>
              <w:keepLines/>
              <w:spacing w:after="0" w:line="240" w:lineRule="auto"/>
              <w:jc w:val="right"/>
            </w:pPr>
            <w:r>
              <w:rPr>
                <w:sz w:val="18"/>
              </w:rPr>
              <w:t>108.094,71</w:t>
            </w:r>
          </w:p>
        </w:tc>
        <w:tc>
          <w:tcPr>
            <w:tcW w:w="1860" w:type="dxa"/>
            <w:tcMar>
              <w:top w:w="0" w:type="dxa"/>
              <w:bottom w:w="0" w:type="dxa"/>
            </w:tcMar>
            <w:vAlign w:val="center"/>
          </w:tcPr>
          <w:p w14:paraId="55C914EA" w14:textId="77777777" w:rsidR="00A56A20" w:rsidRDefault="00000000">
            <w:pPr>
              <w:keepNext/>
              <w:keepLines/>
              <w:spacing w:after="0" w:line="240" w:lineRule="auto"/>
              <w:jc w:val="right"/>
            </w:pPr>
            <w:r>
              <w:rPr>
                <w:sz w:val="18"/>
              </w:rPr>
              <w:t>89.604,00</w:t>
            </w:r>
          </w:p>
        </w:tc>
        <w:tc>
          <w:tcPr>
            <w:tcW w:w="700" w:type="dxa"/>
            <w:tcMar>
              <w:top w:w="0" w:type="dxa"/>
              <w:bottom w:w="0" w:type="dxa"/>
            </w:tcMar>
            <w:vAlign w:val="center"/>
          </w:tcPr>
          <w:p w14:paraId="1E34325F" w14:textId="77777777" w:rsidR="00A56A20" w:rsidRDefault="00000000">
            <w:pPr>
              <w:keepNext/>
              <w:keepLines/>
              <w:spacing w:after="0" w:line="240" w:lineRule="auto"/>
              <w:jc w:val="right"/>
            </w:pPr>
            <w:r>
              <w:rPr>
                <w:sz w:val="18"/>
              </w:rPr>
              <w:t>82,9</w:t>
            </w:r>
          </w:p>
        </w:tc>
      </w:tr>
    </w:tbl>
    <w:p w14:paraId="0337FB1E" w14:textId="77777777" w:rsidR="00A56A20" w:rsidRDefault="00A56A20">
      <w:pPr>
        <w:spacing w:after="0"/>
      </w:pPr>
    </w:p>
    <w:p w14:paraId="15A9675F" w14:textId="77777777" w:rsidR="00A56A20" w:rsidRDefault="00000000">
      <w:pPr>
        <w:jc w:val="both"/>
      </w:pPr>
      <w:r>
        <w:t>Rashodi za Doprinose za obvezno zdravstveno osiguranje evidentirani na šifri 3132  iznose ukupno  89.604,00  eura te bilježe pad indeksa na 82,9. Iako su plaće, a time i doprinosi, za prvo tromjesečje 2026. godine realno veće u odnosu na isto razdoblje prošle godine (zbog rasta plaća uslijed povećanja osnovice za plaću i povećanja broja zaposlenih) do pada indeksa dolazi zbog  promjene metodologije knjiženja plaća. Plaća za prosinac 2024. godine proknjižena je 31.12.2024. samo na konto obveza te na konto 19311 – kontinuirani rashodi budućih razdoblja. Rashod za doprinose za zdravstveno osiguranje za prosinac 2024. knjižen je na konto rashoda tek 02.01.2025. Počevši od 01.01.2025. godine, svi rashodi za plaće se  odmah po obračunu knjiže na konto rashoda, zadnji dan u mjesecu, za sve mjesece u godini.  Na taj način je u razdoblju od 01.01. do 31.03.2025. godine  evidentiran rashod za četiri doprinosa dok je u razdoblju od 01.01. do 31.03.2026. godine evidentiran rashod za tri doprinosa za zdravstveno osiguranje. To se odnosi na plaće koje se obračunavaju  putem COP-a i financiraju iz izvora tekućih pomoći proračunskim korisnicima iz proračuna koji im nije nadležan.</w:t>
      </w:r>
    </w:p>
    <w:p w14:paraId="1EEF6735" w14:textId="77777777" w:rsidR="00A56A20" w:rsidRDefault="00A56A20"/>
    <w:p w14:paraId="61570F81" w14:textId="77777777" w:rsidR="00A56A20"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34025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AAAF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EB807"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6B1A4"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B9DD42"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6A1068"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04410C" w14:textId="77777777" w:rsidR="00A56A20" w:rsidRDefault="00000000">
            <w:pPr>
              <w:keepNext/>
              <w:keepLines/>
              <w:spacing w:after="0" w:line="240" w:lineRule="auto"/>
              <w:jc w:val="center"/>
            </w:pPr>
            <w:r>
              <w:rPr>
                <w:b/>
                <w:sz w:val="18"/>
              </w:rPr>
              <w:t>Indeks (%)</w:t>
            </w:r>
          </w:p>
        </w:tc>
      </w:tr>
      <w:tr w:rsidR="00A56A20" w14:paraId="60C188AC" w14:textId="77777777">
        <w:tblPrEx>
          <w:tblCellMar>
            <w:top w:w="0" w:type="dxa"/>
            <w:bottom w:w="0" w:type="dxa"/>
          </w:tblCellMar>
        </w:tblPrEx>
        <w:trPr>
          <w:cantSplit/>
          <w:trHeight w:val="560"/>
        </w:trPr>
        <w:tc>
          <w:tcPr>
            <w:tcW w:w="700" w:type="dxa"/>
            <w:tcMar>
              <w:top w:w="0" w:type="dxa"/>
              <w:bottom w:w="0" w:type="dxa"/>
            </w:tcMar>
            <w:vAlign w:val="center"/>
          </w:tcPr>
          <w:p w14:paraId="6EFDBFA2" w14:textId="77777777" w:rsidR="00A56A20" w:rsidRDefault="00000000">
            <w:pPr>
              <w:keepNext/>
              <w:keepLines/>
              <w:spacing w:after="0" w:line="240" w:lineRule="auto"/>
            </w:pPr>
            <w:r>
              <w:rPr>
                <w:sz w:val="18"/>
              </w:rPr>
              <w:t>3211</w:t>
            </w:r>
          </w:p>
        </w:tc>
        <w:tc>
          <w:tcPr>
            <w:tcW w:w="3180" w:type="dxa"/>
            <w:tcMar>
              <w:top w:w="0" w:type="dxa"/>
              <w:bottom w:w="0" w:type="dxa"/>
            </w:tcMar>
            <w:vAlign w:val="center"/>
          </w:tcPr>
          <w:p w14:paraId="17ADA590" w14:textId="77777777" w:rsidR="00A56A20" w:rsidRDefault="00000000">
            <w:pPr>
              <w:keepNext/>
              <w:keepLines/>
              <w:spacing w:after="0" w:line="240" w:lineRule="auto"/>
            </w:pPr>
            <w:r>
              <w:rPr>
                <w:sz w:val="18"/>
              </w:rPr>
              <w:t>Službena putovanja</w:t>
            </w:r>
          </w:p>
        </w:tc>
        <w:tc>
          <w:tcPr>
            <w:tcW w:w="700" w:type="dxa"/>
            <w:tcMar>
              <w:top w:w="0" w:type="dxa"/>
              <w:bottom w:w="0" w:type="dxa"/>
            </w:tcMar>
            <w:vAlign w:val="center"/>
          </w:tcPr>
          <w:p w14:paraId="7BB53497" w14:textId="77777777" w:rsidR="00A56A20" w:rsidRDefault="00000000">
            <w:pPr>
              <w:keepNext/>
              <w:keepLines/>
              <w:spacing w:after="0" w:line="240" w:lineRule="auto"/>
            </w:pPr>
            <w:r>
              <w:rPr>
                <w:sz w:val="18"/>
              </w:rPr>
              <w:t>3211</w:t>
            </w:r>
          </w:p>
        </w:tc>
        <w:tc>
          <w:tcPr>
            <w:tcW w:w="1860" w:type="dxa"/>
            <w:tcMar>
              <w:top w:w="0" w:type="dxa"/>
              <w:bottom w:w="0" w:type="dxa"/>
            </w:tcMar>
            <w:vAlign w:val="center"/>
          </w:tcPr>
          <w:p w14:paraId="71AF764B" w14:textId="77777777" w:rsidR="00A56A20" w:rsidRDefault="00000000">
            <w:pPr>
              <w:keepNext/>
              <w:keepLines/>
              <w:spacing w:after="0" w:line="240" w:lineRule="auto"/>
              <w:jc w:val="right"/>
            </w:pPr>
            <w:r>
              <w:rPr>
                <w:sz w:val="18"/>
              </w:rPr>
              <w:t>14.725,46</w:t>
            </w:r>
          </w:p>
        </w:tc>
        <w:tc>
          <w:tcPr>
            <w:tcW w:w="1860" w:type="dxa"/>
            <w:tcMar>
              <w:top w:w="0" w:type="dxa"/>
              <w:bottom w:w="0" w:type="dxa"/>
            </w:tcMar>
            <w:vAlign w:val="center"/>
          </w:tcPr>
          <w:p w14:paraId="735A1BBF" w14:textId="77777777" w:rsidR="00A56A20" w:rsidRDefault="00000000">
            <w:pPr>
              <w:keepNext/>
              <w:keepLines/>
              <w:spacing w:after="0" w:line="240" w:lineRule="auto"/>
              <w:jc w:val="right"/>
            </w:pPr>
            <w:r>
              <w:rPr>
                <w:sz w:val="18"/>
              </w:rPr>
              <w:t>1.640,40</w:t>
            </w:r>
          </w:p>
        </w:tc>
        <w:tc>
          <w:tcPr>
            <w:tcW w:w="700" w:type="dxa"/>
            <w:tcMar>
              <w:top w:w="0" w:type="dxa"/>
              <w:bottom w:w="0" w:type="dxa"/>
            </w:tcMar>
            <w:vAlign w:val="center"/>
          </w:tcPr>
          <w:p w14:paraId="62E75C01" w14:textId="77777777" w:rsidR="00A56A20" w:rsidRDefault="00000000">
            <w:pPr>
              <w:keepNext/>
              <w:keepLines/>
              <w:spacing w:after="0" w:line="240" w:lineRule="auto"/>
              <w:jc w:val="right"/>
            </w:pPr>
            <w:r>
              <w:rPr>
                <w:sz w:val="18"/>
              </w:rPr>
              <w:t>11,1</w:t>
            </w:r>
          </w:p>
        </w:tc>
      </w:tr>
    </w:tbl>
    <w:p w14:paraId="7BA5276A" w14:textId="77777777" w:rsidR="00A56A20" w:rsidRDefault="00A56A20">
      <w:pPr>
        <w:spacing w:after="0"/>
      </w:pPr>
    </w:p>
    <w:p w14:paraId="09E61428" w14:textId="77777777" w:rsidR="00A56A20" w:rsidRDefault="00000000">
      <w:pPr>
        <w:jc w:val="both"/>
      </w:pPr>
      <w:r>
        <w:t xml:space="preserve">Rashodi za službena putovanja iznose 1.640,40 eura i bilježe pad indeksa na 11,1 zbog novog načina knjiženja rashoda za realizaciju Erasmus+ projekta.  Rashodi vezanih uz Erasmus+ putovanja (dnevnice per </w:t>
      </w:r>
      <w:proofErr w:type="spellStart"/>
      <w:r>
        <w:t>diem</w:t>
      </w:r>
      <w:proofErr w:type="spellEnd"/>
      <w:r>
        <w:t xml:space="preserve"> i troškovi službenog putovanja) prethodnih godina su knjiženi na konta službenih putovanja (3211). Prema uputi u  Okružnici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od 16.01.2026. godine navedeni rashodi se knjiže na kontu 3213. Krajem 2025. godine svi rashodi vezani uz Erasmus+ putovanja </w:t>
      </w:r>
      <w:proofErr w:type="spellStart"/>
      <w:r>
        <w:t>preknjiženi</w:t>
      </w:r>
      <w:proofErr w:type="spellEnd"/>
      <w:r>
        <w:t xml:space="preserve"> su sa konta 3211 na konto 3213. U izvještaju za razdoblje od 01.01. do 31.03.2025. godine navedeni rashodi su ostali evidentirani na kontu 3211 te zato dolazi do velikih odstupanja u odnosu na isto razdoblje ove godine.</w:t>
      </w:r>
    </w:p>
    <w:p w14:paraId="5AA005BE" w14:textId="77777777" w:rsidR="00A56A20" w:rsidRDefault="00A56A20"/>
    <w:p w14:paraId="4809213D" w14:textId="77777777" w:rsidR="00A56A2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51CAD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4D0B7C"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BE6439"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179FD2"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5B0F35"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634EE0"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D5D36D" w14:textId="77777777" w:rsidR="00A56A20" w:rsidRDefault="00000000">
            <w:pPr>
              <w:keepNext/>
              <w:keepLines/>
              <w:spacing w:after="0" w:line="240" w:lineRule="auto"/>
              <w:jc w:val="center"/>
            </w:pPr>
            <w:r>
              <w:rPr>
                <w:b/>
                <w:sz w:val="18"/>
              </w:rPr>
              <w:t>Indeks (%)</w:t>
            </w:r>
          </w:p>
        </w:tc>
      </w:tr>
      <w:tr w:rsidR="00A56A20" w14:paraId="1E133AC8" w14:textId="77777777">
        <w:tblPrEx>
          <w:tblCellMar>
            <w:top w:w="0" w:type="dxa"/>
            <w:bottom w:w="0" w:type="dxa"/>
          </w:tblCellMar>
        </w:tblPrEx>
        <w:trPr>
          <w:cantSplit/>
          <w:trHeight w:val="560"/>
        </w:trPr>
        <w:tc>
          <w:tcPr>
            <w:tcW w:w="700" w:type="dxa"/>
            <w:tcMar>
              <w:top w:w="0" w:type="dxa"/>
              <w:bottom w:w="0" w:type="dxa"/>
            </w:tcMar>
            <w:vAlign w:val="center"/>
          </w:tcPr>
          <w:p w14:paraId="582E5F7D" w14:textId="77777777" w:rsidR="00A56A20" w:rsidRDefault="00000000">
            <w:pPr>
              <w:keepNext/>
              <w:keepLines/>
              <w:spacing w:after="0" w:line="240" w:lineRule="auto"/>
            </w:pPr>
            <w:r>
              <w:rPr>
                <w:sz w:val="18"/>
              </w:rPr>
              <w:t>3212</w:t>
            </w:r>
          </w:p>
        </w:tc>
        <w:tc>
          <w:tcPr>
            <w:tcW w:w="3180" w:type="dxa"/>
            <w:tcMar>
              <w:top w:w="0" w:type="dxa"/>
              <w:bottom w:w="0" w:type="dxa"/>
            </w:tcMar>
            <w:vAlign w:val="center"/>
          </w:tcPr>
          <w:p w14:paraId="06121AF3" w14:textId="77777777" w:rsidR="00A56A20"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FA09C43" w14:textId="77777777" w:rsidR="00A56A20" w:rsidRDefault="00000000">
            <w:pPr>
              <w:keepNext/>
              <w:keepLines/>
              <w:spacing w:after="0" w:line="240" w:lineRule="auto"/>
            </w:pPr>
            <w:r>
              <w:rPr>
                <w:sz w:val="18"/>
              </w:rPr>
              <w:t>3212</w:t>
            </w:r>
          </w:p>
        </w:tc>
        <w:tc>
          <w:tcPr>
            <w:tcW w:w="1860" w:type="dxa"/>
            <w:tcMar>
              <w:top w:w="0" w:type="dxa"/>
              <w:bottom w:w="0" w:type="dxa"/>
            </w:tcMar>
            <w:vAlign w:val="center"/>
          </w:tcPr>
          <w:p w14:paraId="4F97BB30" w14:textId="77777777" w:rsidR="00A56A20" w:rsidRDefault="00000000">
            <w:pPr>
              <w:keepNext/>
              <w:keepLines/>
              <w:spacing w:after="0" w:line="240" w:lineRule="auto"/>
              <w:jc w:val="right"/>
            </w:pPr>
            <w:r>
              <w:rPr>
                <w:sz w:val="18"/>
              </w:rPr>
              <w:t>16.529,09</w:t>
            </w:r>
          </w:p>
        </w:tc>
        <w:tc>
          <w:tcPr>
            <w:tcW w:w="1860" w:type="dxa"/>
            <w:tcMar>
              <w:top w:w="0" w:type="dxa"/>
              <w:bottom w:w="0" w:type="dxa"/>
            </w:tcMar>
            <w:vAlign w:val="center"/>
          </w:tcPr>
          <w:p w14:paraId="0AF4FC3A" w14:textId="77777777" w:rsidR="00A56A20" w:rsidRDefault="00000000">
            <w:pPr>
              <w:keepNext/>
              <w:keepLines/>
              <w:spacing w:after="0" w:line="240" w:lineRule="auto"/>
              <w:jc w:val="right"/>
            </w:pPr>
            <w:r>
              <w:rPr>
                <w:sz w:val="18"/>
              </w:rPr>
              <w:t>13.797,96</w:t>
            </w:r>
          </w:p>
        </w:tc>
        <w:tc>
          <w:tcPr>
            <w:tcW w:w="700" w:type="dxa"/>
            <w:tcMar>
              <w:top w:w="0" w:type="dxa"/>
              <w:bottom w:w="0" w:type="dxa"/>
            </w:tcMar>
            <w:vAlign w:val="center"/>
          </w:tcPr>
          <w:p w14:paraId="737D0419" w14:textId="77777777" w:rsidR="00A56A20" w:rsidRDefault="00000000">
            <w:pPr>
              <w:keepNext/>
              <w:keepLines/>
              <w:spacing w:after="0" w:line="240" w:lineRule="auto"/>
              <w:jc w:val="right"/>
            </w:pPr>
            <w:r>
              <w:rPr>
                <w:sz w:val="18"/>
              </w:rPr>
              <w:t>83,5</w:t>
            </w:r>
          </w:p>
        </w:tc>
      </w:tr>
    </w:tbl>
    <w:p w14:paraId="62C2BC55" w14:textId="77777777" w:rsidR="00A56A20" w:rsidRDefault="00A56A20">
      <w:pPr>
        <w:spacing w:after="0"/>
      </w:pPr>
    </w:p>
    <w:p w14:paraId="63BFF320" w14:textId="77777777" w:rsidR="00A56A20" w:rsidRDefault="00000000">
      <w:pPr>
        <w:jc w:val="both"/>
      </w:pPr>
      <w:r>
        <w:t xml:space="preserve">Rashodi za Naknade za prijevoz evidentirani na šifri 3212  iznose ukupno 13.797,96  eura te bilježe pad indeksa na 83,5. Do pada indeksa dolazi zbog promjene metodologije knjiženja plaća. Plaća (i svi rashodi vezani uz plaće) za prosinac 2024. godine proknjižena je 31.12.2024. samo na konto obveza te na konto 19311 – kontinuirani rashodi budućih razdoblja. Rashod za prijevoz za prosinac 2024. knjižen je na konto rashoda tek 02.01.2025. Počevši od 01.01.2025. godine, rashodi za plaće se  odmah po obračunu knjiže na konto rashoda, zadnji dan u mjesecu, za sve mjesece u godini.  Na taj način je u razdoblju od 01.01. do 31.03.2025. godine  evidentiran rashod za četiri </w:t>
      </w:r>
      <w:proofErr w:type="spellStart"/>
      <w:r>
        <w:t>prijeovza</w:t>
      </w:r>
      <w:proofErr w:type="spellEnd"/>
      <w:r>
        <w:t xml:space="preserve"> na posao dok je u razdoblju od 01.01. do 31.03.2026. godine evidentiran rashod za tri </w:t>
      </w:r>
      <w:proofErr w:type="spellStart"/>
      <w:r>
        <w:t>prijeovza</w:t>
      </w:r>
      <w:proofErr w:type="spellEnd"/>
      <w:r>
        <w:t>. To se odnosi na plaće i rashode koji se obračunavaju  putem COP-a i financiraju iz izvora tekućih pomoći proračunskim korisnicima iz proračuna koji im nije nadležan.</w:t>
      </w:r>
    </w:p>
    <w:p w14:paraId="55DF0231" w14:textId="77777777" w:rsidR="00A56A20" w:rsidRDefault="00A56A20"/>
    <w:p w14:paraId="6763FD65" w14:textId="77777777" w:rsidR="00A56A20"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32E162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D059B"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CCACBA"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B35DC"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E250C"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FF4F5"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52C4D" w14:textId="77777777" w:rsidR="00A56A20" w:rsidRDefault="00000000">
            <w:pPr>
              <w:keepNext/>
              <w:keepLines/>
              <w:spacing w:after="0" w:line="240" w:lineRule="auto"/>
              <w:jc w:val="center"/>
            </w:pPr>
            <w:r>
              <w:rPr>
                <w:b/>
                <w:sz w:val="18"/>
              </w:rPr>
              <w:t>Indeks (%)</w:t>
            </w:r>
          </w:p>
        </w:tc>
      </w:tr>
      <w:tr w:rsidR="00A56A20" w14:paraId="5080EB51" w14:textId="77777777">
        <w:tblPrEx>
          <w:tblCellMar>
            <w:top w:w="0" w:type="dxa"/>
            <w:bottom w:w="0" w:type="dxa"/>
          </w:tblCellMar>
        </w:tblPrEx>
        <w:trPr>
          <w:cantSplit/>
          <w:trHeight w:val="560"/>
        </w:trPr>
        <w:tc>
          <w:tcPr>
            <w:tcW w:w="700" w:type="dxa"/>
            <w:tcMar>
              <w:top w:w="0" w:type="dxa"/>
              <w:bottom w:w="0" w:type="dxa"/>
            </w:tcMar>
            <w:vAlign w:val="center"/>
          </w:tcPr>
          <w:p w14:paraId="0B9B5AEF" w14:textId="77777777" w:rsidR="00A56A20" w:rsidRDefault="00000000">
            <w:pPr>
              <w:keepNext/>
              <w:keepLines/>
              <w:spacing w:after="0" w:line="240" w:lineRule="auto"/>
            </w:pPr>
            <w:r>
              <w:rPr>
                <w:sz w:val="18"/>
              </w:rPr>
              <w:t>3213</w:t>
            </w:r>
          </w:p>
        </w:tc>
        <w:tc>
          <w:tcPr>
            <w:tcW w:w="3180" w:type="dxa"/>
            <w:tcMar>
              <w:top w:w="0" w:type="dxa"/>
              <w:bottom w:w="0" w:type="dxa"/>
            </w:tcMar>
            <w:vAlign w:val="center"/>
          </w:tcPr>
          <w:p w14:paraId="61FC4CB4" w14:textId="77777777" w:rsidR="00A56A20"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71772FA" w14:textId="77777777" w:rsidR="00A56A20" w:rsidRDefault="00000000">
            <w:pPr>
              <w:keepNext/>
              <w:keepLines/>
              <w:spacing w:after="0" w:line="240" w:lineRule="auto"/>
            </w:pPr>
            <w:r>
              <w:rPr>
                <w:sz w:val="18"/>
              </w:rPr>
              <w:t>3213</w:t>
            </w:r>
          </w:p>
        </w:tc>
        <w:tc>
          <w:tcPr>
            <w:tcW w:w="1860" w:type="dxa"/>
            <w:tcMar>
              <w:top w:w="0" w:type="dxa"/>
              <w:bottom w:w="0" w:type="dxa"/>
            </w:tcMar>
            <w:vAlign w:val="center"/>
          </w:tcPr>
          <w:p w14:paraId="49A2B5A4" w14:textId="77777777" w:rsidR="00A56A20" w:rsidRDefault="00000000">
            <w:pPr>
              <w:keepNext/>
              <w:keepLines/>
              <w:spacing w:after="0" w:line="240" w:lineRule="auto"/>
              <w:jc w:val="right"/>
            </w:pPr>
            <w:r>
              <w:rPr>
                <w:sz w:val="18"/>
              </w:rPr>
              <w:t>1.820,25</w:t>
            </w:r>
          </w:p>
        </w:tc>
        <w:tc>
          <w:tcPr>
            <w:tcW w:w="1860" w:type="dxa"/>
            <w:tcMar>
              <w:top w:w="0" w:type="dxa"/>
              <w:bottom w:w="0" w:type="dxa"/>
            </w:tcMar>
            <w:vAlign w:val="center"/>
          </w:tcPr>
          <w:p w14:paraId="021F1FBC" w14:textId="77777777" w:rsidR="00A56A20" w:rsidRDefault="00000000">
            <w:pPr>
              <w:keepNext/>
              <w:keepLines/>
              <w:spacing w:after="0" w:line="240" w:lineRule="auto"/>
              <w:jc w:val="right"/>
            </w:pPr>
            <w:r>
              <w:rPr>
                <w:sz w:val="18"/>
              </w:rPr>
              <w:t>5.788,08</w:t>
            </w:r>
          </w:p>
        </w:tc>
        <w:tc>
          <w:tcPr>
            <w:tcW w:w="700" w:type="dxa"/>
            <w:tcMar>
              <w:top w:w="0" w:type="dxa"/>
              <w:bottom w:w="0" w:type="dxa"/>
            </w:tcMar>
            <w:vAlign w:val="center"/>
          </w:tcPr>
          <w:p w14:paraId="7F1129E3" w14:textId="77777777" w:rsidR="00A56A20" w:rsidRDefault="00000000">
            <w:pPr>
              <w:keepNext/>
              <w:keepLines/>
              <w:spacing w:after="0" w:line="240" w:lineRule="auto"/>
              <w:jc w:val="right"/>
            </w:pPr>
            <w:r>
              <w:rPr>
                <w:sz w:val="18"/>
              </w:rPr>
              <w:t>318,0</w:t>
            </w:r>
          </w:p>
        </w:tc>
      </w:tr>
    </w:tbl>
    <w:p w14:paraId="7CD06AF3" w14:textId="77777777" w:rsidR="00A56A20" w:rsidRDefault="00A56A20">
      <w:pPr>
        <w:spacing w:after="0"/>
      </w:pPr>
    </w:p>
    <w:p w14:paraId="62A3D506" w14:textId="77777777" w:rsidR="00A56A20" w:rsidRDefault="00000000">
      <w:pPr>
        <w:jc w:val="both"/>
      </w:pPr>
      <w:r>
        <w:t xml:space="preserve">Rashodi za stručno usavršavanje zaposlenika iznose 5.788,08 eura i bilježe rast indeksa na 318 zbog novog načina knjiženja rashoda za realizaciju Erasmus+ projekta.  Rashodi vezanih uz Erasmus+ putovanja (dnevnice per </w:t>
      </w:r>
      <w:proofErr w:type="spellStart"/>
      <w:r>
        <w:t>diem</w:t>
      </w:r>
      <w:proofErr w:type="spellEnd"/>
      <w:r>
        <w:t xml:space="preserve"> i troškovi službenog putovanja) prethodnih godina su knjiženi na konta službenih putovanja (3211). Prema uputi u  Okružnici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godine, od 16.01.2026. godine navedeni rashodi se knjiže na kontu 3213. Krajem 2025. godine svi rashodi vezani uz Erasmus+ putovanja </w:t>
      </w:r>
      <w:proofErr w:type="spellStart"/>
      <w:r>
        <w:t>preknjiženi</w:t>
      </w:r>
      <w:proofErr w:type="spellEnd"/>
      <w:r>
        <w:t xml:space="preserve"> su sa konta 3211 na konto 3213. U izvještaju za razdoblje od 01.01. do 31.03.2025. godine navedeni rashodi su ostali evidentirani na kontu 3211 te zato dolazi do velikih odstupanja na kontima 3211 i  3213.</w:t>
      </w:r>
    </w:p>
    <w:p w14:paraId="423044FC" w14:textId="77777777" w:rsidR="00A56A20" w:rsidRDefault="00A56A20"/>
    <w:p w14:paraId="50D35069" w14:textId="77777777" w:rsidR="00A56A20"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E1A7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0B651"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1F2A06"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C17E7"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DA5B9"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DB9BE0"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F7A8FB" w14:textId="77777777" w:rsidR="00A56A20" w:rsidRDefault="00000000">
            <w:pPr>
              <w:keepNext/>
              <w:keepLines/>
              <w:spacing w:after="0" w:line="240" w:lineRule="auto"/>
              <w:jc w:val="center"/>
            </w:pPr>
            <w:r>
              <w:rPr>
                <w:b/>
                <w:sz w:val="18"/>
              </w:rPr>
              <w:t>Indeks (%)</w:t>
            </w:r>
          </w:p>
        </w:tc>
      </w:tr>
      <w:tr w:rsidR="00A56A20" w14:paraId="4804166B" w14:textId="77777777">
        <w:tblPrEx>
          <w:tblCellMar>
            <w:top w:w="0" w:type="dxa"/>
            <w:bottom w:w="0" w:type="dxa"/>
          </w:tblCellMar>
        </w:tblPrEx>
        <w:trPr>
          <w:cantSplit/>
          <w:trHeight w:val="560"/>
        </w:trPr>
        <w:tc>
          <w:tcPr>
            <w:tcW w:w="700" w:type="dxa"/>
            <w:tcMar>
              <w:top w:w="0" w:type="dxa"/>
              <w:bottom w:w="0" w:type="dxa"/>
            </w:tcMar>
            <w:vAlign w:val="center"/>
          </w:tcPr>
          <w:p w14:paraId="09963A35" w14:textId="77777777" w:rsidR="00A56A20" w:rsidRDefault="00000000">
            <w:pPr>
              <w:keepNext/>
              <w:keepLines/>
              <w:spacing w:after="0" w:line="240" w:lineRule="auto"/>
            </w:pPr>
            <w:r>
              <w:rPr>
                <w:sz w:val="18"/>
              </w:rPr>
              <w:t>3214</w:t>
            </w:r>
          </w:p>
        </w:tc>
        <w:tc>
          <w:tcPr>
            <w:tcW w:w="3180" w:type="dxa"/>
            <w:tcMar>
              <w:top w:w="0" w:type="dxa"/>
              <w:bottom w:w="0" w:type="dxa"/>
            </w:tcMar>
            <w:vAlign w:val="center"/>
          </w:tcPr>
          <w:p w14:paraId="6343C81C" w14:textId="77777777" w:rsidR="00A56A20"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3A60D79A" w14:textId="77777777" w:rsidR="00A56A20" w:rsidRDefault="00000000">
            <w:pPr>
              <w:keepNext/>
              <w:keepLines/>
              <w:spacing w:after="0" w:line="240" w:lineRule="auto"/>
            </w:pPr>
            <w:r>
              <w:rPr>
                <w:sz w:val="18"/>
              </w:rPr>
              <w:t>3214</w:t>
            </w:r>
          </w:p>
        </w:tc>
        <w:tc>
          <w:tcPr>
            <w:tcW w:w="1860" w:type="dxa"/>
            <w:tcMar>
              <w:top w:w="0" w:type="dxa"/>
              <w:bottom w:w="0" w:type="dxa"/>
            </w:tcMar>
            <w:vAlign w:val="center"/>
          </w:tcPr>
          <w:p w14:paraId="303C0B55" w14:textId="77777777" w:rsidR="00A56A20" w:rsidRDefault="00000000">
            <w:pPr>
              <w:keepNext/>
              <w:keepLines/>
              <w:spacing w:after="0" w:line="240" w:lineRule="auto"/>
              <w:jc w:val="right"/>
            </w:pPr>
            <w:r>
              <w:rPr>
                <w:sz w:val="18"/>
              </w:rPr>
              <w:t>98,00</w:t>
            </w:r>
          </w:p>
        </w:tc>
        <w:tc>
          <w:tcPr>
            <w:tcW w:w="1860" w:type="dxa"/>
            <w:tcMar>
              <w:top w:w="0" w:type="dxa"/>
              <w:bottom w:w="0" w:type="dxa"/>
            </w:tcMar>
            <w:vAlign w:val="center"/>
          </w:tcPr>
          <w:p w14:paraId="0A8B944C" w14:textId="77777777" w:rsidR="00A56A20" w:rsidRDefault="00000000">
            <w:pPr>
              <w:keepNext/>
              <w:keepLines/>
              <w:spacing w:after="0" w:line="240" w:lineRule="auto"/>
              <w:jc w:val="right"/>
            </w:pPr>
            <w:r>
              <w:rPr>
                <w:sz w:val="18"/>
              </w:rPr>
              <w:t>248,76</w:t>
            </w:r>
          </w:p>
        </w:tc>
        <w:tc>
          <w:tcPr>
            <w:tcW w:w="700" w:type="dxa"/>
            <w:tcMar>
              <w:top w:w="0" w:type="dxa"/>
              <w:bottom w:w="0" w:type="dxa"/>
            </w:tcMar>
            <w:vAlign w:val="center"/>
          </w:tcPr>
          <w:p w14:paraId="27C4E7F9" w14:textId="77777777" w:rsidR="00A56A20" w:rsidRDefault="00000000">
            <w:pPr>
              <w:keepNext/>
              <w:keepLines/>
              <w:spacing w:after="0" w:line="240" w:lineRule="auto"/>
              <w:jc w:val="right"/>
            </w:pPr>
            <w:r>
              <w:rPr>
                <w:sz w:val="18"/>
              </w:rPr>
              <w:t>253,8</w:t>
            </w:r>
          </w:p>
        </w:tc>
      </w:tr>
    </w:tbl>
    <w:p w14:paraId="5FDCF457" w14:textId="77777777" w:rsidR="00A56A20" w:rsidRDefault="00A56A20">
      <w:pPr>
        <w:spacing w:after="0"/>
      </w:pPr>
    </w:p>
    <w:p w14:paraId="3A9695E8" w14:textId="77777777" w:rsidR="00A56A20" w:rsidRDefault="00000000">
      <w:r>
        <w:t>Ostale naknade troškova zaposlenima - šifra 3214 - iznose 253,8 eura i bilježe rast indeksa na 253,8 zbog većeg iznosa troškova naknade za korištenje osobnog automobila za službene svrhe, a to se posebno odnosi na domare škole. Iako se radi o relativno velikom indeksu povećanja, riječ je o zanemarivom povećanju rashoda u iznosu od svega 150,76 eura.</w:t>
      </w:r>
    </w:p>
    <w:p w14:paraId="3E01B920" w14:textId="77777777" w:rsidR="00A56A20" w:rsidRDefault="00A56A20"/>
    <w:p w14:paraId="6327E447" w14:textId="77777777" w:rsidR="00A56A2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C254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D67F7"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3A1EF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3827D"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1C031"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6D5EB"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A9621B" w14:textId="77777777" w:rsidR="00A56A20" w:rsidRDefault="00000000">
            <w:pPr>
              <w:keepNext/>
              <w:keepLines/>
              <w:spacing w:after="0" w:line="240" w:lineRule="auto"/>
              <w:jc w:val="center"/>
            </w:pPr>
            <w:r>
              <w:rPr>
                <w:b/>
                <w:sz w:val="18"/>
              </w:rPr>
              <w:t>Indeks (%)</w:t>
            </w:r>
          </w:p>
        </w:tc>
      </w:tr>
      <w:tr w:rsidR="00A56A20" w14:paraId="1586AFAC" w14:textId="77777777">
        <w:tblPrEx>
          <w:tblCellMar>
            <w:top w:w="0" w:type="dxa"/>
            <w:bottom w:w="0" w:type="dxa"/>
          </w:tblCellMar>
        </w:tblPrEx>
        <w:trPr>
          <w:cantSplit/>
          <w:trHeight w:val="560"/>
        </w:trPr>
        <w:tc>
          <w:tcPr>
            <w:tcW w:w="700" w:type="dxa"/>
            <w:tcMar>
              <w:top w:w="0" w:type="dxa"/>
              <w:bottom w:w="0" w:type="dxa"/>
            </w:tcMar>
            <w:vAlign w:val="center"/>
          </w:tcPr>
          <w:p w14:paraId="3E5828C8" w14:textId="77777777" w:rsidR="00A56A20" w:rsidRDefault="00000000">
            <w:pPr>
              <w:keepNext/>
              <w:keepLines/>
              <w:spacing w:after="0" w:line="240" w:lineRule="auto"/>
            </w:pPr>
            <w:r>
              <w:rPr>
                <w:sz w:val="18"/>
              </w:rPr>
              <w:t>3223</w:t>
            </w:r>
          </w:p>
        </w:tc>
        <w:tc>
          <w:tcPr>
            <w:tcW w:w="3180" w:type="dxa"/>
            <w:tcMar>
              <w:top w:w="0" w:type="dxa"/>
              <w:bottom w:w="0" w:type="dxa"/>
            </w:tcMar>
            <w:vAlign w:val="center"/>
          </w:tcPr>
          <w:p w14:paraId="57214B35" w14:textId="77777777" w:rsidR="00A56A20" w:rsidRDefault="00000000">
            <w:pPr>
              <w:keepNext/>
              <w:keepLines/>
              <w:spacing w:after="0" w:line="240" w:lineRule="auto"/>
            </w:pPr>
            <w:r>
              <w:rPr>
                <w:sz w:val="18"/>
              </w:rPr>
              <w:t>Energija</w:t>
            </w:r>
          </w:p>
        </w:tc>
        <w:tc>
          <w:tcPr>
            <w:tcW w:w="700" w:type="dxa"/>
            <w:tcMar>
              <w:top w:w="0" w:type="dxa"/>
              <w:bottom w:w="0" w:type="dxa"/>
            </w:tcMar>
            <w:vAlign w:val="center"/>
          </w:tcPr>
          <w:p w14:paraId="334F2631" w14:textId="77777777" w:rsidR="00A56A20" w:rsidRDefault="00000000">
            <w:pPr>
              <w:keepNext/>
              <w:keepLines/>
              <w:spacing w:after="0" w:line="240" w:lineRule="auto"/>
            </w:pPr>
            <w:r>
              <w:rPr>
                <w:sz w:val="18"/>
              </w:rPr>
              <w:t>3223</w:t>
            </w:r>
          </w:p>
        </w:tc>
        <w:tc>
          <w:tcPr>
            <w:tcW w:w="1860" w:type="dxa"/>
            <w:tcMar>
              <w:top w:w="0" w:type="dxa"/>
              <w:bottom w:w="0" w:type="dxa"/>
            </w:tcMar>
            <w:vAlign w:val="center"/>
          </w:tcPr>
          <w:p w14:paraId="7E78FBE4" w14:textId="77777777" w:rsidR="00A56A20" w:rsidRDefault="00000000">
            <w:pPr>
              <w:keepNext/>
              <w:keepLines/>
              <w:spacing w:after="0" w:line="240" w:lineRule="auto"/>
              <w:jc w:val="right"/>
            </w:pPr>
            <w:r>
              <w:rPr>
                <w:sz w:val="18"/>
              </w:rPr>
              <w:t>19.698,57</w:t>
            </w:r>
          </w:p>
        </w:tc>
        <w:tc>
          <w:tcPr>
            <w:tcW w:w="1860" w:type="dxa"/>
            <w:tcMar>
              <w:top w:w="0" w:type="dxa"/>
              <w:bottom w:w="0" w:type="dxa"/>
            </w:tcMar>
            <w:vAlign w:val="center"/>
          </w:tcPr>
          <w:p w14:paraId="02644EB8" w14:textId="77777777" w:rsidR="00A56A20" w:rsidRDefault="00000000">
            <w:pPr>
              <w:keepNext/>
              <w:keepLines/>
              <w:spacing w:after="0" w:line="240" w:lineRule="auto"/>
              <w:jc w:val="right"/>
            </w:pPr>
            <w:r>
              <w:rPr>
                <w:sz w:val="18"/>
              </w:rPr>
              <w:t>24.063,46</w:t>
            </w:r>
          </w:p>
        </w:tc>
        <w:tc>
          <w:tcPr>
            <w:tcW w:w="700" w:type="dxa"/>
            <w:tcMar>
              <w:top w:w="0" w:type="dxa"/>
              <w:bottom w:w="0" w:type="dxa"/>
            </w:tcMar>
            <w:vAlign w:val="center"/>
          </w:tcPr>
          <w:p w14:paraId="5D2CAA1B" w14:textId="77777777" w:rsidR="00A56A20" w:rsidRDefault="00000000">
            <w:pPr>
              <w:keepNext/>
              <w:keepLines/>
              <w:spacing w:after="0" w:line="240" w:lineRule="auto"/>
              <w:jc w:val="right"/>
            </w:pPr>
            <w:r>
              <w:rPr>
                <w:sz w:val="18"/>
              </w:rPr>
              <w:t>122,2</w:t>
            </w:r>
          </w:p>
        </w:tc>
      </w:tr>
    </w:tbl>
    <w:p w14:paraId="6B0E0624" w14:textId="77777777" w:rsidR="00A56A20" w:rsidRDefault="00A56A20">
      <w:pPr>
        <w:spacing w:after="0"/>
      </w:pPr>
    </w:p>
    <w:p w14:paraId="140E76D0" w14:textId="77777777" w:rsidR="00A56A20" w:rsidRDefault="00000000">
      <w:r>
        <w:t>Rashodi za energiju - 3223 - iznose 24.063,46 eura i bilježe rast indeksa na 122,2 zbog povećanja cijena energenata na tržištu.</w:t>
      </w:r>
    </w:p>
    <w:p w14:paraId="09F0B40D" w14:textId="77777777" w:rsidR="00A56A20" w:rsidRDefault="00A56A20"/>
    <w:p w14:paraId="723809D2" w14:textId="77777777" w:rsidR="00A56A20"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FE77A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DDB8D8"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9248A"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B9588"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43C40"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F845C8"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99DE06" w14:textId="77777777" w:rsidR="00A56A20" w:rsidRDefault="00000000">
            <w:pPr>
              <w:keepNext/>
              <w:keepLines/>
              <w:spacing w:after="0" w:line="240" w:lineRule="auto"/>
              <w:jc w:val="center"/>
            </w:pPr>
            <w:r>
              <w:rPr>
                <w:b/>
                <w:sz w:val="18"/>
              </w:rPr>
              <w:t>Indeks (%)</w:t>
            </w:r>
          </w:p>
        </w:tc>
      </w:tr>
      <w:tr w:rsidR="00A56A20" w14:paraId="321122FE" w14:textId="77777777">
        <w:tblPrEx>
          <w:tblCellMar>
            <w:top w:w="0" w:type="dxa"/>
            <w:bottom w:w="0" w:type="dxa"/>
          </w:tblCellMar>
        </w:tblPrEx>
        <w:trPr>
          <w:cantSplit/>
          <w:trHeight w:val="560"/>
        </w:trPr>
        <w:tc>
          <w:tcPr>
            <w:tcW w:w="700" w:type="dxa"/>
            <w:tcMar>
              <w:top w:w="0" w:type="dxa"/>
              <w:bottom w:w="0" w:type="dxa"/>
            </w:tcMar>
            <w:vAlign w:val="center"/>
          </w:tcPr>
          <w:p w14:paraId="0E49BCA6" w14:textId="77777777" w:rsidR="00A56A20" w:rsidRDefault="00000000">
            <w:pPr>
              <w:keepNext/>
              <w:keepLines/>
              <w:spacing w:after="0" w:line="240" w:lineRule="auto"/>
            </w:pPr>
            <w:r>
              <w:rPr>
                <w:sz w:val="18"/>
              </w:rPr>
              <w:t>3224</w:t>
            </w:r>
          </w:p>
        </w:tc>
        <w:tc>
          <w:tcPr>
            <w:tcW w:w="3180" w:type="dxa"/>
            <w:tcMar>
              <w:top w:w="0" w:type="dxa"/>
              <w:bottom w:w="0" w:type="dxa"/>
            </w:tcMar>
            <w:vAlign w:val="center"/>
          </w:tcPr>
          <w:p w14:paraId="3DD6E626" w14:textId="77777777" w:rsidR="00A56A20"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8482255" w14:textId="77777777" w:rsidR="00A56A20" w:rsidRDefault="00000000">
            <w:pPr>
              <w:keepNext/>
              <w:keepLines/>
              <w:spacing w:after="0" w:line="240" w:lineRule="auto"/>
            </w:pPr>
            <w:r>
              <w:rPr>
                <w:sz w:val="18"/>
              </w:rPr>
              <w:t>3224</w:t>
            </w:r>
          </w:p>
        </w:tc>
        <w:tc>
          <w:tcPr>
            <w:tcW w:w="1860" w:type="dxa"/>
            <w:tcMar>
              <w:top w:w="0" w:type="dxa"/>
              <w:bottom w:w="0" w:type="dxa"/>
            </w:tcMar>
            <w:vAlign w:val="center"/>
          </w:tcPr>
          <w:p w14:paraId="025A119E" w14:textId="77777777" w:rsidR="00A56A20" w:rsidRDefault="00000000">
            <w:pPr>
              <w:keepNext/>
              <w:keepLines/>
              <w:spacing w:after="0" w:line="240" w:lineRule="auto"/>
              <w:jc w:val="right"/>
            </w:pPr>
            <w:r>
              <w:rPr>
                <w:sz w:val="18"/>
              </w:rPr>
              <w:t>1.089,12</w:t>
            </w:r>
          </w:p>
        </w:tc>
        <w:tc>
          <w:tcPr>
            <w:tcW w:w="1860" w:type="dxa"/>
            <w:tcMar>
              <w:top w:w="0" w:type="dxa"/>
              <w:bottom w:w="0" w:type="dxa"/>
            </w:tcMar>
            <w:vAlign w:val="center"/>
          </w:tcPr>
          <w:p w14:paraId="54627BE4" w14:textId="77777777" w:rsidR="00A56A20" w:rsidRDefault="00000000">
            <w:pPr>
              <w:keepNext/>
              <w:keepLines/>
              <w:spacing w:after="0" w:line="240" w:lineRule="auto"/>
              <w:jc w:val="right"/>
            </w:pPr>
            <w:r>
              <w:rPr>
                <w:sz w:val="18"/>
              </w:rPr>
              <w:t>741,46</w:t>
            </w:r>
          </w:p>
        </w:tc>
        <w:tc>
          <w:tcPr>
            <w:tcW w:w="700" w:type="dxa"/>
            <w:tcMar>
              <w:top w:w="0" w:type="dxa"/>
              <w:bottom w:w="0" w:type="dxa"/>
            </w:tcMar>
            <w:vAlign w:val="center"/>
          </w:tcPr>
          <w:p w14:paraId="6137BB16" w14:textId="77777777" w:rsidR="00A56A20" w:rsidRDefault="00000000">
            <w:pPr>
              <w:keepNext/>
              <w:keepLines/>
              <w:spacing w:after="0" w:line="240" w:lineRule="auto"/>
              <w:jc w:val="right"/>
            </w:pPr>
            <w:r>
              <w:rPr>
                <w:sz w:val="18"/>
              </w:rPr>
              <w:t>68,1</w:t>
            </w:r>
          </w:p>
        </w:tc>
      </w:tr>
    </w:tbl>
    <w:p w14:paraId="5678489B" w14:textId="77777777" w:rsidR="00A56A20" w:rsidRDefault="00A56A20">
      <w:pPr>
        <w:spacing w:after="0"/>
      </w:pPr>
    </w:p>
    <w:p w14:paraId="5F865672" w14:textId="77777777" w:rsidR="00A56A20" w:rsidRDefault="00000000">
      <w:r>
        <w:t>Rashodi za materijal i dijelove za tekuće i investicijsko održavanje iznose 741,46 eura i bilježe pad indeksa na 68,1 zbog manjih potreba za navedenim materijalom, zbog drugačijih potrebe za održavanjem prostora škole. </w:t>
      </w:r>
    </w:p>
    <w:p w14:paraId="3FAF4215" w14:textId="77777777" w:rsidR="00A56A20" w:rsidRDefault="00A56A20"/>
    <w:p w14:paraId="41870455" w14:textId="77777777" w:rsidR="00A56A20"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6214C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E0F83"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5FE3D"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7487F"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4FDE9"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8DC251"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645BC4" w14:textId="77777777" w:rsidR="00A56A20" w:rsidRDefault="00000000">
            <w:pPr>
              <w:keepNext/>
              <w:keepLines/>
              <w:spacing w:after="0" w:line="240" w:lineRule="auto"/>
              <w:jc w:val="center"/>
            </w:pPr>
            <w:r>
              <w:rPr>
                <w:b/>
                <w:sz w:val="18"/>
              </w:rPr>
              <w:t>Indeks (%)</w:t>
            </w:r>
          </w:p>
        </w:tc>
      </w:tr>
      <w:tr w:rsidR="00A56A20" w14:paraId="0C51B664" w14:textId="77777777">
        <w:tblPrEx>
          <w:tblCellMar>
            <w:top w:w="0" w:type="dxa"/>
            <w:bottom w:w="0" w:type="dxa"/>
          </w:tblCellMar>
        </w:tblPrEx>
        <w:trPr>
          <w:cantSplit/>
          <w:trHeight w:val="560"/>
        </w:trPr>
        <w:tc>
          <w:tcPr>
            <w:tcW w:w="700" w:type="dxa"/>
            <w:tcMar>
              <w:top w:w="0" w:type="dxa"/>
              <w:bottom w:w="0" w:type="dxa"/>
            </w:tcMar>
            <w:vAlign w:val="center"/>
          </w:tcPr>
          <w:p w14:paraId="268D9765" w14:textId="77777777" w:rsidR="00A56A20" w:rsidRDefault="00000000">
            <w:pPr>
              <w:keepNext/>
              <w:keepLines/>
              <w:spacing w:after="0" w:line="240" w:lineRule="auto"/>
            </w:pPr>
            <w:r>
              <w:rPr>
                <w:sz w:val="18"/>
              </w:rPr>
              <w:t>3225</w:t>
            </w:r>
          </w:p>
        </w:tc>
        <w:tc>
          <w:tcPr>
            <w:tcW w:w="3180" w:type="dxa"/>
            <w:tcMar>
              <w:top w:w="0" w:type="dxa"/>
              <w:bottom w:w="0" w:type="dxa"/>
            </w:tcMar>
            <w:vAlign w:val="center"/>
          </w:tcPr>
          <w:p w14:paraId="20F5B584" w14:textId="77777777" w:rsidR="00A56A20"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0D4148CC" w14:textId="77777777" w:rsidR="00A56A20" w:rsidRDefault="00000000">
            <w:pPr>
              <w:keepNext/>
              <w:keepLines/>
              <w:spacing w:after="0" w:line="240" w:lineRule="auto"/>
            </w:pPr>
            <w:r>
              <w:rPr>
                <w:sz w:val="18"/>
              </w:rPr>
              <w:t>3225</w:t>
            </w:r>
          </w:p>
        </w:tc>
        <w:tc>
          <w:tcPr>
            <w:tcW w:w="1860" w:type="dxa"/>
            <w:tcMar>
              <w:top w:w="0" w:type="dxa"/>
              <w:bottom w:w="0" w:type="dxa"/>
            </w:tcMar>
            <w:vAlign w:val="center"/>
          </w:tcPr>
          <w:p w14:paraId="1C92644C" w14:textId="77777777" w:rsidR="00A56A20" w:rsidRDefault="00000000">
            <w:pPr>
              <w:keepNext/>
              <w:keepLines/>
              <w:spacing w:after="0" w:line="240" w:lineRule="auto"/>
              <w:jc w:val="right"/>
            </w:pPr>
            <w:r>
              <w:rPr>
                <w:sz w:val="18"/>
              </w:rPr>
              <w:t>2.590,20</w:t>
            </w:r>
          </w:p>
        </w:tc>
        <w:tc>
          <w:tcPr>
            <w:tcW w:w="1860" w:type="dxa"/>
            <w:tcMar>
              <w:top w:w="0" w:type="dxa"/>
              <w:bottom w:w="0" w:type="dxa"/>
            </w:tcMar>
            <w:vAlign w:val="center"/>
          </w:tcPr>
          <w:p w14:paraId="371E7534" w14:textId="77777777" w:rsidR="00A56A20" w:rsidRDefault="00000000">
            <w:pPr>
              <w:keepNext/>
              <w:keepLines/>
              <w:spacing w:after="0" w:line="240" w:lineRule="auto"/>
              <w:jc w:val="right"/>
            </w:pPr>
            <w:r>
              <w:rPr>
                <w:sz w:val="18"/>
              </w:rPr>
              <w:t>790,68</w:t>
            </w:r>
          </w:p>
        </w:tc>
        <w:tc>
          <w:tcPr>
            <w:tcW w:w="700" w:type="dxa"/>
            <w:tcMar>
              <w:top w:w="0" w:type="dxa"/>
              <w:bottom w:w="0" w:type="dxa"/>
            </w:tcMar>
            <w:vAlign w:val="center"/>
          </w:tcPr>
          <w:p w14:paraId="26830B35" w14:textId="77777777" w:rsidR="00A56A20" w:rsidRDefault="00000000">
            <w:pPr>
              <w:keepNext/>
              <w:keepLines/>
              <w:spacing w:after="0" w:line="240" w:lineRule="auto"/>
              <w:jc w:val="right"/>
            </w:pPr>
            <w:r>
              <w:rPr>
                <w:sz w:val="18"/>
              </w:rPr>
              <w:t>30,5</w:t>
            </w:r>
          </w:p>
        </w:tc>
      </w:tr>
    </w:tbl>
    <w:p w14:paraId="35CECE67" w14:textId="77777777" w:rsidR="00A56A20" w:rsidRDefault="00A56A20">
      <w:pPr>
        <w:spacing w:after="0"/>
      </w:pPr>
    </w:p>
    <w:p w14:paraId="59D12879" w14:textId="77777777" w:rsidR="00A56A20" w:rsidRDefault="00000000">
      <w:pPr>
        <w:jc w:val="both"/>
      </w:pPr>
      <w:r>
        <w:t xml:space="preserve">Rashod za Sitni inventar i </w:t>
      </w:r>
      <w:proofErr w:type="spellStart"/>
      <w:r>
        <w:t>autogume</w:t>
      </w:r>
      <w:proofErr w:type="spellEnd"/>
      <w:r>
        <w:t xml:space="preserve"> iznosi 790,68 eura i bilježi pad indeksa na 30,5 jer su u istom razdoblju prethodne godine nabavljeni službeni mobiteli za zaposlenike dok u ovom izvještajnom razdoblju nije bilo tog rashoda.</w:t>
      </w:r>
    </w:p>
    <w:p w14:paraId="480A88BE" w14:textId="77777777" w:rsidR="00A56A20" w:rsidRDefault="00A56A20"/>
    <w:p w14:paraId="572CB23F" w14:textId="77777777" w:rsidR="00A56A2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E8A71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EF0D4"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29DBF9"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8829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E708B1"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453FC0"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AB6D3B" w14:textId="77777777" w:rsidR="00A56A20" w:rsidRDefault="00000000">
            <w:pPr>
              <w:keepNext/>
              <w:keepLines/>
              <w:spacing w:after="0" w:line="240" w:lineRule="auto"/>
              <w:jc w:val="center"/>
            </w:pPr>
            <w:r>
              <w:rPr>
                <w:b/>
                <w:sz w:val="18"/>
              </w:rPr>
              <w:t>Indeks (%)</w:t>
            </w:r>
          </w:p>
        </w:tc>
      </w:tr>
      <w:tr w:rsidR="00A56A20" w14:paraId="6A3F3929" w14:textId="77777777">
        <w:tblPrEx>
          <w:tblCellMar>
            <w:top w:w="0" w:type="dxa"/>
            <w:bottom w:w="0" w:type="dxa"/>
          </w:tblCellMar>
        </w:tblPrEx>
        <w:trPr>
          <w:cantSplit/>
          <w:trHeight w:val="560"/>
        </w:trPr>
        <w:tc>
          <w:tcPr>
            <w:tcW w:w="700" w:type="dxa"/>
            <w:tcMar>
              <w:top w:w="0" w:type="dxa"/>
              <w:bottom w:w="0" w:type="dxa"/>
            </w:tcMar>
            <w:vAlign w:val="center"/>
          </w:tcPr>
          <w:p w14:paraId="402CADAB" w14:textId="77777777" w:rsidR="00A56A20" w:rsidRDefault="00000000">
            <w:pPr>
              <w:keepNext/>
              <w:keepLines/>
              <w:spacing w:after="0" w:line="240" w:lineRule="auto"/>
            </w:pPr>
            <w:r>
              <w:rPr>
                <w:sz w:val="18"/>
              </w:rPr>
              <w:t>3227</w:t>
            </w:r>
          </w:p>
        </w:tc>
        <w:tc>
          <w:tcPr>
            <w:tcW w:w="3180" w:type="dxa"/>
            <w:tcMar>
              <w:top w:w="0" w:type="dxa"/>
              <w:bottom w:w="0" w:type="dxa"/>
            </w:tcMar>
            <w:vAlign w:val="center"/>
          </w:tcPr>
          <w:p w14:paraId="0D0F56A3" w14:textId="77777777" w:rsidR="00A56A20"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207B52B4" w14:textId="77777777" w:rsidR="00A56A20" w:rsidRDefault="00000000">
            <w:pPr>
              <w:keepNext/>
              <w:keepLines/>
              <w:spacing w:after="0" w:line="240" w:lineRule="auto"/>
            </w:pPr>
            <w:r>
              <w:rPr>
                <w:sz w:val="18"/>
              </w:rPr>
              <w:t>3227</w:t>
            </w:r>
          </w:p>
        </w:tc>
        <w:tc>
          <w:tcPr>
            <w:tcW w:w="1860" w:type="dxa"/>
            <w:tcMar>
              <w:top w:w="0" w:type="dxa"/>
              <w:bottom w:w="0" w:type="dxa"/>
            </w:tcMar>
            <w:vAlign w:val="center"/>
          </w:tcPr>
          <w:p w14:paraId="362092AA" w14:textId="77777777" w:rsidR="00A56A20" w:rsidRDefault="00000000">
            <w:pPr>
              <w:keepNext/>
              <w:keepLines/>
              <w:spacing w:after="0" w:line="240" w:lineRule="auto"/>
              <w:jc w:val="right"/>
            </w:pPr>
            <w:r>
              <w:rPr>
                <w:sz w:val="18"/>
              </w:rPr>
              <w:t>416,60</w:t>
            </w:r>
          </w:p>
        </w:tc>
        <w:tc>
          <w:tcPr>
            <w:tcW w:w="1860" w:type="dxa"/>
            <w:tcMar>
              <w:top w:w="0" w:type="dxa"/>
              <w:bottom w:w="0" w:type="dxa"/>
            </w:tcMar>
            <w:vAlign w:val="center"/>
          </w:tcPr>
          <w:p w14:paraId="1AA76458" w14:textId="77777777" w:rsidR="00A56A20" w:rsidRDefault="00000000">
            <w:pPr>
              <w:keepNext/>
              <w:keepLines/>
              <w:spacing w:after="0" w:line="240" w:lineRule="auto"/>
              <w:jc w:val="right"/>
            </w:pPr>
            <w:r>
              <w:rPr>
                <w:sz w:val="18"/>
              </w:rPr>
              <w:t>503,91</w:t>
            </w:r>
          </w:p>
        </w:tc>
        <w:tc>
          <w:tcPr>
            <w:tcW w:w="700" w:type="dxa"/>
            <w:tcMar>
              <w:top w:w="0" w:type="dxa"/>
              <w:bottom w:w="0" w:type="dxa"/>
            </w:tcMar>
            <w:vAlign w:val="center"/>
          </w:tcPr>
          <w:p w14:paraId="22C13C9E" w14:textId="77777777" w:rsidR="00A56A20" w:rsidRDefault="00000000">
            <w:pPr>
              <w:keepNext/>
              <w:keepLines/>
              <w:spacing w:after="0" w:line="240" w:lineRule="auto"/>
              <w:jc w:val="right"/>
            </w:pPr>
            <w:r>
              <w:rPr>
                <w:sz w:val="18"/>
              </w:rPr>
              <w:t>121,0</w:t>
            </w:r>
          </w:p>
        </w:tc>
      </w:tr>
    </w:tbl>
    <w:p w14:paraId="1680C9D7" w14:textId="77777777" w:rsidR="00A56A20" w:rsidRDefault="00A56A20">
      <w:pPr>
        <w:spacing w:after="0"/>
      </w:pPr>
    </w:p>
    <w:p w14:paraId="65CBFED1" w14:textId="77777777" w:rsidR="00A56A20" w:rsidRDefault="00000000">
      <w:r>
        <w:t xml:space="preserve">Rashod za službenu, radnu i zaštitnu odjeću i obuću  - šifra 3227 - iznosi 503,91 eura i bilježi rast indeksa na 121. Službena, radna i zaštitna odjeća i obuća nabavlja se periodično, u skladu sa stvarnim potrebama. U prvom </w:t>
      </w:r>
      <w:proofErr w:type="spellStart"/>
      <w:r>
        <w:t>tromjesječju</w:t>
      </w:r>
      <w:proofErr w:type="spellEnd"/>
      <w:r>
        <w:t xml:space="preserve"> je nabavljen samo dio potrebne radne odjeće a do kraja 2026. godine će svom tehničkom osoblju biti nabavljena nova radna odjeća i obuća.</w:t>
      </w:r>
    </w:p>
    <w:p w14:paraId="5DFB7D3A" w14:textId="77777777" w:rsidR="00A56A20" w:rsidRDefault="00A56A20"/>
    <w:p w14:paraId="14000A17" w14:textId="77777777" w:rsidR="00A56A2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81A71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8FDD09"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F8375"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2C32B"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63424"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B3C19"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D3797" w14:textId="77777777" w:rsidR="00A56A20" w:rsidRDefault="00000000">
            <w:pPr>
              <w:keepNext/>
              <w:keepLines/>
              <w:spacing w:after="0" w:line="240" w:lineRule="auto"/>
              <w:jc w:val="center"/>
            </w:pPr>
            <w:r>
              <w:rPr>
                <w:b/>
                <w:sz w:val="18"/>
              </w:rPr>
              <w:t>Indeks (%)</w:t>
            </w:r>
          </w:p>
        </w:tc>
      </w:tr>
      <w:tr w:rsidR="00A56A20" w14:paraId="75AC6B15" w14:textId="77777777">
        <w:tblPrEx>
          <w:tblCellMar>
            <w:top w:w="0" w:type="dxa"/>
            <w:bottom w:w="0" w:type="dxa"/>
          </w:tblCellMar>
        </w:tblPrEx>
        <w:trPr>
          <w:cantSplit/>
          <w:trHeight w:val="560"/>
        </w:trPr>
        <w:tc>
          <w:tcPr>
            <w:tcW w:w="700" w:type="dxa"/>
            <w:tcMar>
              <w:top w:w="0" w:type="dxa"/>
              <w:bottom w:w="0" w:type="dxa"/>
            </w:tcMar>
            <w:vAlign w:val="center"/>
          </w:tcPr>
          <w:p w14:paraId="2986D3F5" w14:textId="77777777" w:rsidR="00A56A20" w:rsidRDefault="00000000">
            <w:pPr>
              <w:keepNext/>
              <w:keepLines/>
              <w:spacing w:after="0" w:line="240" w:lineRule="auto"/>
            </w:pPr>
            <w:r>
              <w:rPr>
                <w:sz w:val="18"/>
              </w:rPr>
              <w:t>3232</w:t>
            </w:r>
          </w:p>
        </w:tc>
        <w:tc>
          <w:tcPr>
            <w:tcW w:w="3180" w:type="dxa"/>
            <w:tcMar>
              <w:top w:w="0" w:type="dxa"/>
              <w:bottom w:w="0" w:type="dxa"/>
            </w:tcMar>
            <w:vAlign w:val="center"/>
          </w:tcPr>
          <w:p w14:paraId="347E3226" w14:textId="77777777" w:rsidR="00A56A2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856B4F8" w14:textId="77777777" w:rsidR="00A56A20" w:rsidRDefault="00000000">
            <w:pPr>
              <w:keepNext/>
              <w:keepLines/>
              <w:spacing w:after="0" w:line="240" w:lineRule="auto"/>
            </w:pPr>
            <w:r>
              <w:rPr>
                <w:sz w:val="18"/>
              </w:rPr>
              <w:t>3232</w:t>
            </w:r>
          </w:p>
        </w:tc>
        <w:tc>
          <w:tcPr>
            <w:tcW w:w="1860" w:type="dxa"/>
            <w:tcMar>
              <w:top w:w="0" w:type="dxa"/>
              <w:bottom w:w="0" w:type="dxa"/>
            </w:tcMar>
            <w:vAlign w:val="center"/>
          </w:tcPr>
          <w:p w14:paraId="61696DC7" w14:textId="77777777" w:rsidR="00A56A20" w:rsidRDefault="00000000">
            <w:pPr>
              <w:keepNext/>
              <w:keepLines/>
              <w:spacing w:after="0" w:line="240" w:lineRule="auto"/>
              <w:jc w:val="right"/>
            </w:pPr>
            <w:r>
              <w:rPr>
                <w:sz w:val="18"/>
              </w:rPr>
              <w:t>373,75</w:t>
            </w:r>
          </w:p>
        </w:tc>
        <w:tc>
          <w:tcPr>
            <w:tcW w:w="1860" w:type="dxa"/>
            <w:tcMar>
              <w:top w:w="0" w:type="dxa"/>
              <w:bottom w:w="0" w:type="dxa"/>
            </w:tcMar>
            <w:vAlign w:val="center"/>
          </w:tcPr>
          <w:p w14:paraId="24A54369" w14:textId="77777777" w:rsidR="00A56A20" w:rsidRDefault="00000000">
            <w:pPr>
              <w:keepNext/>
              <w:keepLines/>
              <w:spacing w:after="0" w:line="240" w:lineRule="auto"/>
              <w:jc w:val="right"/>
            </w:pPr>
            <w:r>
              <w:rPr>
                <w:sz w:val="18"/>
              </w:rPr>
              <w:t>3.802,62</w:t>
            </w:r>
          </w:p>
        </w:tc>
        <w:tc>
          <w:tcPr>
            <w:tcW w:w="700" w:type="dxa"/>
            <w:tcMar>
              <w:top w:w="0" w:type="dxa"/>
              <w:bottom w:w="0" w:type="dxa"/>
            </w:tcMar>
            <w:vAlign w:val="center"/>
          </w:tcPr>
          <w:p w14:paraId="7317DDFF" w14:textId="77777777" w:rsidR="00A56A20" w:rsidRDefault="00000000">
            <w:pPr>
              <w:keepNext/>
              <w:keepLines/>
              <w:spacing w:after="0" w:line="240" w:lineRule="auto"/>
              <w:jc w:val="right"/>
            </w:pPr>
            <w:r>
              <w:rPr>
                <w:sz w:val="18"/>
              </w:rPr>
              <w:t>1017,4</w:t>
            </w:r>
          </w:p>
        </w:tc>
      </w:tr>
    </w:tbl>
    <w:p w14:paraId="7294F0BF" w14:textId="77777777" w:rsidR="00A56A20" w:rsidRDefault="00A56A20">
      <w:pPr>
        <w:spacing w:after="0"/>
      </w:pPr>
    </w:p>
    <w:p w14:paraId="56E4D3C9" w14:textId="77777777" w:rsidR="00A56A20" w:rsidRDefault="00000000">
      <w:r>
        <w:t xml:space="preserve">Rashodi za usluge tekućeg i investicijskog održavanja iznose 3.802,62 eura i bilježe ogroman rast </w:t>
      </w:r>
      <w:proofErr w:type="spellStart"/>
      <w:r>
        <w:t>undeksa</w:t>
      </w:r>
      <w:proofErr w:type="spellEnd"/>
      <w:r>
        <w:t xml:space="preserve"> na 1017,4 zato jer je u ovom izvještajnom razdoblju utrošeno 2.038,59 eura za </w:t>
      </w:r>
      <w:r>
        <w:lastRenderedPageBreak/>
        <w:t>doradu sustava zaštite na prednjem ulazu u zgradu škole te 1.164,88 eura za otklanjanje kvara na vodovodnim cijevima u školskoj kuhinji.</w:t>
      </w:r>
    </w:p>
    <w:p w14:paraId="239D9E5D" w14:textId="77777777" w:rsidR="00A56A20" w:rsidRDefault="00A56A20"/>
    <w:p w14:paraId="70D10F2D" w14:textId="77777777" w:rsidR="00A56A20"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BAE3C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4036CC"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82F6EA"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4761CD"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FB370"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3B1D7"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A835C" w14:textId="77777777" w:rsidR="00A56A20" w:rsidRDefault="00000000">
            <w:pPr>
              <w:keepNext/>
              <w:keepLines/>
              <w:spacing w:after="0" w:line="240" w:lineRule="auto"/>
              <w:jc w:val="center"/>
            </w:pPr>
            <w:r>
              <w:rPr>
                <w:b/>
                <w:sz w:val="18"/>
              </w:rPr>
              <w:t>Indeks (%)</w:t>
            </w:r>
          </w:p>
        </w:tc>
      </w:tr>
      <w:tr w:rsidR="00A56A20" w14:paraId="4E6339B1" w14:textId="77777777">
        <w:tblPrEx>
          <w:tblCellMar>
            <w:top w:w="0" w:type="dxa"/>
            <w:bottom w:w="0" w:type="dxa"/>
          </w:tblCellMar>
        </w:tblPrEx>
        <w:trPr>
          <w:cantSplit/>
          <w:trHeight w:val="560"/>
        </w:trPr>
        <w:tc>
          <w:tcPr>
            <w:tcW w:w="700" w:type="dxa"/>
            <w:tcMar>
              <w:top w:w="0" w:type="dxa"/>
              <w:bottom w:w="0" w:type="dxa"/>
            </w:tcMar>
            <w:vAlign w:val="center"/>
          </w:tcPr>
          <w:p w14:paraId="165FA99E" w14:textId="77777777" w:rsidR="00A56A20" w:rsidRDefault="00000000">
            <w:pPr>
              <w:keepNext/>
              <w:keepLines/>
              <w:spacing w:after="0" w:line="240" w:lineRule="auto"/>
            </w:pPr>
            <w:r>
              <w:rPr>
                <w:sz w:val="18"/>
              </w:rPr>
              <w:t>3234</w:t>
            </w:r>
          </w:p>
        </w:tc>
        <w:tc>
          <w:tcPr>
            <w:tcW w:w="3180" w:type="dxa"/>
            <w:tcMar>
              <w:top w:w="0" w:type="dxa"/>
              <w:bottom w:w="0" w:type="dxa"/>
            </w:tcMar>
            <w:vAlign w:val="center"/>
          </w:tcPr>
          <w:p w14:paraId="6EFAD2C2" w14:textId="77777777" w:rsidR="00A56A20" w:rsidRDefault="00000000">
            <w:pPr>
              <w:keepNext/>
              <w:keepLines/>
              <w:spacing w:after="0" w:line="240" w:lineRule="auto"/>
            </w:pPr>
            <w:r>
              <w:rPr>
                <w:sz w:val="18"/>
              </w:rPr>
              <w:t>Komunalne usluge</w:t>
            </w:r>
          </w:p>
        </w:tc>
        <w:tc>
          <w:tcPr>
            <w:tcW w:w="700" w:type="dxa"/>
            <w:tcMar>
              <w:top w:w="0" w:type="dxa"/>
              <w:bottom w:w="0" w:type="dxa"/>
            </w:tcMar>
            <w:vAlign w:val="center"/>
          </w:tcPr>
          <w:p w14:paraId="27745DCE" w14:textId="77777777" w:rsidR="00A56A20" w:rsidRDefault="00000000">
            <w:pPr>
              <w:keepNext/>
              <w:keepLines/>
              <w:spacing w:after="0" w:line="240" w:lineRule="auto"/>
            </w:pPr>
            <w:r>
              <w:rPr>
                <w:sz w:val="18"/>
              </w:rPr>
              <w:t>3234</w:t>
            </w:r>
          </w:p>
        </w:tc>
        <w:tc>
          <w:tcPr>
            <w:tcW w:w="1860" w:type="dxa"/>
            <w:tcMar>
              <w:top w:w="0" w:type="dxa"/>
              <w:bottom w:w="0" w:type="dxa"/>
            </w:tcMar>
            <w:vAlign w:val="center"/>
          </w:tcPr>
          <w:p w14:paraId="363F6F18" w14:textId="77777777" w:rsidR="00A56A20" w:rsidRDefault="00000000">
            <w:pPr>
              <w:keepNext/>
              <w:keepLines/>
              <w:spacing w:after="0" w:line="240" w:lineRule="auto"/>
              <w:jc w:val="right"/>
            </w:pPr>
            <w:r>
              <w:rPr>
                <w:sz w:val="18"/>
              </w:rPr>
              <w:t>2.671,49</w:t>
            </w:r>
          </w:p>
        </w:tc>
        <w:tc>
          <w:tcPr>
            <w:tcW w:w="1860" w:type="dxa"/>
            <w:tcMar>
              <w:top w:w="0" w:type="dxa"/>
              <w:bottom w:w="0" w:type="dxa"/>
            </w:tcMar>
            <w:vAlign w:val="center"/>
          </w:tcPr>
          <w:p w14:paraId="3A95BB98" w14:textId="77777777" w:rsidR="00A56A20" w:rsidRDefault="00000000">
            <w:pPr>
              <w:keepNext/>
              <w:keepLines/>
              <w:spacing w:after="0" w:line="240" w:lineRule="auto"/>
              <w:jc w:val="right"/>
            </w:pPr>
            <w:r>
              <w:rPr>
                <w:sz w:val="18"/>
              </w:rPr>
              <w:t>5.030,36</w:t>
            </w:r>
          </w:p>
        </w:tc>
        <w:tc>
          <w:tcPr>
            <w:tcW w:w="700" w:type="dxa"/>
            <w:tcMar>
              <w:top w:w="0" w:type="dxa"/>
              <w:bottom w:w="0" w:type="dxa"/>
            </w:tcMar>
            <w:vAlign w:val="center"/>
          </w:tcPr>
          <w:p w14:paraId="1D4A81D3" w14:textId="77777777" w:rsidR="00A56A20" w:rsidRDefault="00000000">
            <w:pPr>
              <w:keepNext/>
              <w:keepLines/>
              <w:spacing w:after="0" w:line="240" w:lineRule="auto"/>
              <w:jc w:val="right"/>
            </w:pPr>
            <w:r>
              <w:rPr>
                <w:sz w:val="18"/>
              </w:rPr>
              <w:t>188,3</w:t>
            </w:r>
          </w:p>
        </w:tc>
      </w:tr>
    </w:tbl>
    <w:p w14:paraId="4FA9246D" w14:textId="77777777" w:rsidR="00A56A20" w:rsidRDefault="00A56A20">
      <w:pPr>
        <w:spacing w:after="0"/>
      </w:pPr>
    </w:p>
    <w:p w14:paraId="26E73D5F" w14:textId="77777777" w:rsidR="00A56A20" w:rsidRDefault="00000000">
      <w:pPr>
        <w:jc w:val="both"/>
      </w:pPr>
      <w:r>
        <w:t xml:space="preserve">Komunalne usluge iznose 5.030,36 eura i bilježe rast indeksa na 188,3 iz više razloga. U ovom izvještajnom razdoblju imamo  dodatni rashod za naknadu za oborinske vode u iznosu od 364,59 mjesečno a koji nije postojao  u istom </w:t>
      </w:r>
      <w:proofErr w:type="spellStart"/>
      <w:r>
        <w:t>izvještjanom</w:t>
      </w:r>
      <w:proofErr w:type="spellEnd"/>
      <w:r>
        <w:t xml:space="preserve"> razdoblju prošle godine. Osim toga svi računi za potrošnju vode za prosinac 2025. godine (za matičnu i područne škole) kao i račun za naknadu za oborinske vode, nisu knjiženi na dan 31.12.2025. nego na dan 02.01.2026. Škola nije na vrijeme zaprimila e-račune (te nisu mogli biti knjiženi na dan 31.12.25.) zbog problema koji su Koprivničke vode imale sa slanjem e-računa zbog fiskalizacije. Isto tako zbog loših vremenskih uvjeta (velike količine snijega) radnici komunalnog poduzeća nisu mogli na vrijeme očitati stanje vodomjera na dan 31.12.2025., te su svi računi za vodu stigli naknadno i knjiženi na dan 02.01.2026. godine.</w:t>
      </w:r>
    </w:p>
    <w:p w14:paraId="102A1BD7" w14:textId="77777777" w:rsidR="00A56A20" w:rsidRDefault="00A56A20"/>
    <w:p w14:paraId="3A7AAEAB" w14:textId="77777777" w:rsidR="00A56A20"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1A560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BAC5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0483E"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07846"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2D1BF"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C56EB1"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346221" w14:textId="77777777" w:rsidR="00A56A20" w:rsidRDefault="00000000">
            <w:pPr>
              <w:keepNext/>
              <w:keepLines/>
              <w:spacing w:after="0" w:line="240" w:lineRule="auto"/>
              <w:jc w:val="center"/>
            </w:pPr>
            <w:r>
              <w:rPr>
                <w:b/>
                <w:sz w:val="18"/>
              </w:rPr>
              <w:t>Indeks (%)</w:t>
            </w:r>
          </w:p>
        </w:tc>
      </w:tr>
      <w:tr w:rsidR="00A56A20" w14:paraId="2136F0B8" w14:textId="77777777">
        <w:tblPrEx>
          <w:tblCellMar>
            <w:top w:w="0" w:type="dxa"/>
            <w:bottom w:w="0" w:type="dxa"/>
          </w:tblCellMar>
        </w:tblPrEx>
        <w:trPr>
          <w:cantSplit/>
          <w:trHeight w:val="560"/>
        </w:trPr>
        <w:tc>
          <w:tcPr>
            <w:tcW w:w="700" w:type="dxa"/>
            <w:tcMar>
              <w:top w:w="0" w:type="dxa"/>
              <w:bottom w:w="0" w:type="dxa"/>
            </w:tcMar>
            <w:vAlign w:val="center"/>
          </w:tcPr>
          <w:p w14:paraId="1062F1A6" w14:textId="77777777" w:rsidR="00A56A20" w:rsidRDefault="00000000">
            <w:pPr>
              <w:keepNext/>
              <w:keepLines/>
              <w:spacing w:after="0" w:line="240" w:lineRule="auto"/>
            </w:pPr>
            <w:r>
              <w:rPr>
                <w:sz w:val="18"/>
              </w:rPr>
              <w:t>3237</w:t>
            </w:r>
          </w:p>
        </w:tc>
        <w:tc>
          <w:tcPr>
            <w:tcW w:w="3180" w:type="dxa"/>
            <w:tcMar>
              <w:top w:w="0" w:type="dxa"/>
              <w:bottom w:w="0" w:type="dxa"/>
            </w:tcMar>
            <w:vAlign w:val="center"/>
          </w:tcPr>
          <w:p w14:paraId="3EDD2ABF" w14:textId="77777777" w:rsidR="00A56A20"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45BDB921" w14:textId="77777777" w:rsidR="00A56A20" w:rsidRDefault="00000000">
            <w:pPr>
              <w:keepNext/>
              <w:keepLines/>
              <w:spacing w:after="0" w:line="240" w:lineRule="auto"/>
            </w:pPr>
            <w:r>
              <w:rPr>
                <w:sz w:val="18"/>
              </w:rPr>
              <w:t>3237</w:t>
            </w:r>
          </w:p>
        </w:tc>
        <w:tc>
          <w:tcPr>
            <w:tcW w:w="1860" w:type="dxa"/>
            <w:tcMar>
              <w:top w:w="0" w:type="dxa"/>
              <w:bottom w:w="0" w:type="dxa"/>
            </w:tcMar>
            <w:vAlign w:val="center"/>
          </w:tcPr>
          <w:p w14:paraId="1A73F55E" w14:textId="77777777" w:rsidR="00A56A20" w:rsidRDefault="00000000">
            <w:pPr>
              <w:keepNext/>
              <w:keepLines/>
              <w:spacing w:after="0" w:line="240" w:lineRule="auto"/>
              <w:jc w:val="right"/>
            </w:pPr>
            <w:r>
              <w:rPr>
                <w:sz w:val="18"/>
              </w:rPr>
              <w:t>373,26</w:t>
            </w:r>
          </w:p>
        </w:tc>
        <w:tc>
          <w:tcPr>
            <w:tcW w:w="1860" w:type="dxa"/>
            <w:tcMar>
              <w:top w:w="0" w:type="dxa"/>
              <w:bottom w:w="0" w:type="dxa"/>
            </w:tcMar>
            <w:vAlign w:val="center"/>
          </w:tcPr>
          <w:p w14:paraId="6D98CA79" w14:textId="77777777" w:rsidR="00A56A20" w:rsidRDefault="00000000">
            <w:pPr>
              <w:keepNext/>
              <w:keepLines/>
              <w:spacing w:after="0" w:line="240" w:lineRule="auto"/>
              <w:jc w:val="right"/>
            </w:pPr>
            <w:r>
              <w:rPr>
                <w:sz w:val="18"/>
              </w:rPr>
              <w:t>2.135,01</w:t>
            </w:r>
          </w:p>
        </w:tc>
        <w:tc>
          <w:tcPr>
            <w:tcW w:w="700" w:type="dxa"/>
            <w:tcMar>
              <w:top w:w="0" w:type="dxa"/>
              <w:bottom w:w="0" w:type="dxa"/>
            </w:tcMar>
            <w:vAlign w:val="center"/>
          </w:tcPr>
          <w:p w14:paraId="199C6E0F" w14:textId="77777777" w:rsidR="00A56A20" w:rsidRDefault="00000000">
            <w:pPr>
              <w:keepNext/>
              <w:keepLines/>
              <w:spacing w:after="0" w:line="240" w:lineRule="auto"/>
              <w:jc w:val="right"/>
            </w:pPr>
            <w:r>
              <w:rPr>
                <w:sz w:val="18"/>
              </w:rPr>
              <w:t>572,0</w:t>
            </w:r>
          </w:p>
        </w:tc>
      </w:tr>
    </w:tbl>
    <w:p w14:paraId="53BD9052" w14:textId="77777777" w:rsidR="00A56A20" w:rsidRDefault="00A56A20">
      <w:pPr>
        <w:spacing w:after="0"/>
      </w:pPr>
    </w:p>
    <w:p w14:paraId="2A566C96" w14:textId="77777777" w:rsidR="00A56A20" w:rsidRDefault="00000000">
      <w:pPr>
        <w:jc w:val="both"/>
      </w:pPr>
      <w:r>
        <w:t>Intelektualne i osobne usluge iznose 2.135,01 eura i bilježe veliki rast indeksa na 572 jer je u ovom izvještajnom razdoblju evidentiran rashod od 1.836,40 eura za odvjetničke usluge koje se odnose na uslugu zastupanja škole u sudskom procesu koji je protiv škole pokrenula bivša zaposlenica škole.</w:t>
      </w:r>
    </w:p>
    <w:p w14:paraId="50908551" w14:textId="77777777" w:rsidR="00A56A20" w:rsidRDefault="00A56A20"/>
    <w:p w14:paraId="53575190" w14:textId="77777777" w:rsidR="00A56A20"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7C38B7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E0D2AF"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F6774"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0ABD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3D9473"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74D9EB"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D8D38E" w14:textId="77777777" w:rsidR="00A56A20" w:rsidRDefault="00000000">
            <w:pPr>
              <w:keepNext/>
              <w:keepLines/>
              <w:spacing w:after="0" w:line="240" w:lineRule="auto"/>
              <w:jc w:val="center"/>
            </w:pPr>
            <w:r>
              <w:rPr>
                <w:b/>
                <w:sz w:val="18"/>
              </w:rPr>
              <w:t>Indeks (%)</w:t>
            </w:r>
          </w:p>
        </w:tc>
      </w:tr>
      <w:tr w:rsidR="00A56A20" w14:paraId="781B98B9" w14:textId="77777777">
        <w:tblPrEx>
          <w:tblCellMar>
            <w:top w:w="0" w:type="dxa"/>
            <w:bottom w:w="0" w:type="dxa"/>
          </w:tblCellMar>
        </w:tblPrEx>
        <w:trPr>
          <w:cantSplit/>
          <w:trHeight w:val="560"/>
        </w:trPr>
        <w:tc>
          <w:tcPr>
            <w:tcW w:w="700" w:type="dxa"/>
            <w:tcMar>
              <w:top w:w="0" w:type="dxa"/>
              <w:bottom w:w="0" w:type="dxa"/>
            </w:tcMar>
            <w:vAlign w:val="center"/>
          </w:tcPr>
          <w:p w14:paraId="26E42C80" w14:textId="77777777" w:rsidR="00A56A20" w:rsidRDefault="00000000">
            <w:pPr>
              <w:keepNext/>
              <w:keepLines/>
              <w:spacing w:after="0" w:line="240" w:lineRule="auto"/>
            </w:pPr>
            <w:r>
              <w:rPr>
                <w:sz w:val="18"/>
              </w:rPr>
              <w:t>324</w:t>
            </w:r>
          </w:p>
        </w:tc>
        <w:tc>
          <w:tcPr>
            <w:tcW w:w="3180" w:type="dxa"/>
            <w:tcMar>
              <w:top w:w="0" w:type="dxa"/>
              <w:bottom w:w="0" w:type="dxa"/>
            </w:tcMar>
            <w:vAlign w:val="center"/>
          </w:tcPr>
          <w:p w14:paraId="1A8BE82B" w14:textId="77777777" w:rsidR="00A56A20"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04567FE8" w14:textId="77777777" w:rsidR="00A56A20" w:rsidRDefault="00000000">
            <w:pPr>
              <w:keepNext/>
              <w:keepLines/>
              <w:spacing w:after="0" w:line="240" w:lineRule="auto"/>
            </w:pPr>
            <w:r>
              <w:rPr>
                <w:sz w:val="18"/>
              </w:rPr>
              <w:t>324</w:t>
            </w:r>
          </w:p>
        </w:tc>
        <w:tc>
          <w:tcPr>
            <w:tcW w:w="1860" w:type="dxa"/>
            <w:tcMar>
              <w:top w:w="0" w:type="dxa"/>
              <w:bottom w:w="0" w:type="dxa"/>
            </w:tcMar>
            <w:vAlign w:val="center"/>
          </w:tcPr>
          <w:p w14:paraId="0575A94C" w14:textId="77777777" w:rsidR="00A56A20" w:rsidRDefault="00000000">
            <w:pPr>
              <w:keepNext/>
              <w:keepLines/>
              <w:spacing w:after="0" w:line="240" w:lineRule="auto"/>
              <w:jc w:val="right"/>
            </w:pPr>
            <w:r>
              <w:rPr>
                <w:sz w:val="18"/>
              </w:rPr>
              <w:t>14.225,46</w:t>
            </w:r>
          </w:p>
        </w:tc>
        <w:tc>
          <w:tcPr>
            <w:tcW w:w="1860" w:type="dxa"/>
            <w:tcMar>
              <w:top w:w="0" w:type="dxa"/>
              <w:bottom w:w="0" w:type="dxa"/>
            </w:tcMar>
            <w:vAlign w:val="center"/>
          </w:tcPr>
          <w:p w14:paraId="0DEC7D10" w14:textId="77777777" w:rsidR="00A56A20" w:rsidRDefault="00000000">
            <w:pPr>
              <w:keepNext/>
              <w:keepLines/>
              <w:spacing w:after="0" w:line="240" w:lineRule="auto"/>
              <w:jc w:val="right"/>
            </w:pPr>
            <w:r>
              <w:rPr>
                <w:sz w:val="18"/>
              </w:rPr>
              <w:t>8.266,40</w:t>
            </w:r>
          </w:p>
        </w:tc>
        <w:tc>
          <w:tcPr>
            <w:tcW w:w="700" w:type="dxa"/>
            <w:tcMar>
              <w:top w:w="0" w:type="dxa"/>
              <w:bottom w:w="0" w:type="dxa"/>
            </w:tcMar>
            <w:vAlign w:val="center"/>
          </w:tcPr>
          <w:p w14:paraId="448687FC" w14:textId="77777777" w:rsidR="00A56A20" w:rsidRDefault="00000000">
            <w:pPr>
              <w:keepNext/>
              <w:keepLines/>
              <w:spacing w:after="0" w:line="240" w:lineRule="auto"/>
              <w:jc w:val="right"/>
            </w:pPr>
            <w:r>
              <w:rPr>
                <w:sz w:val="18"/>
              </w:rPr>
              <w:t>58,1</w:t>
            </w:r>
          </w:p>
        </w:tc>
      </w:tr>
    </w:tbl>
    <w:p w14:paraId="55BEEAAA" w14:textId="77777777" w:rsidR="00A56A20" w:rsidRDefault="00A56A20">
      <w:pPr>
        <w:spacing w:after="0"/>
      </w:pPr>
    </w:p>
    <w:p w14:paraId="183D6689" w14:textId="77777777" w:rsidR="00A56A20" w:rsidRDefault="00000000">
      <w:pPr>
        <w:jc w:val="both"/>
      </w:pPr>
      <w:r>
        <w:t xml:space="preserve">Naknade troškova osobama izvan radnog odnosa - šifra 324 - iznose 8.266,40 eura i  odnose se na troškove putovanja učenika  (troškovi putovanja i Per </w:t>
      </w:r>
      <w:proofErr w:type="spellStart"/>
      <w:r>
        <w:t>diem</w:t>
      </w:r>
      <w:proofErr w:type="spellEnd"/>
      <w:r>
        <w:t xml:space="preserve"> dnevnica) koji su sudjelovali </w:t>
      </w:r>
      <w:r>
        <w:lastRenderedPageBreak/>
        <w:t>u EU projektima. Na ovom kontu bilježi se  pad  indeksa na 58,1 zbog drugačije dinamike realizacije učeničkih mobilnosti u odnosu na isto razdoblje prethodne godine.</w:t>
      </w:r>
    </w:p>
    <w:p w14:paraId="06934308" w14:textId="77777777" w:rsidR="00A56A20" w:rsidRDefault="00A56A20"/>
    <w:p w14:paraId="5A7F324B" w14:textId="77777777" w:rsidR="00A56A20"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8473B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B93D6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5E100"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45A081"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B571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91294"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0A901B" w14:textId="77777777" w:rsidR="00A56A20" w:rsidRDefault="00000000">
            <w:pPr>
              <w:keepNext/>
              <w:keepLines/>
              <w:spacing w:after="0" w:line="240" w:lineRule="auto"/>
              <w:jc w:val="center"/>
            </w:pPr>
            <w:r>
              <w:rPr>
                <w:b/>
                <w:sz w:val="18"/>
              </w:rPr>
              <w:t>Indeks (%)</w:t>
            </w:r>
          </w:p>
        </w:tc>
      </w:tr>
      <w:tr w:rsidR="00A56A20" w14:paraId="142C2AF4" w14:textId="77777777">
        <w:tblPrEx>
          <w:tblCellMar>
            <w:top w:w="0" w:type="dxa"/>
            <w:bottom w:w="0" w:type="dxa"/>
          </w:tblCellMar>
        </w:tblPrEx>
        <w:trPr>
          <w:cantSplit/>
          <w:trHeight w:val="560"/>
        </w:trPr>
        <w:tc>
          <w:tcPr>
            <w:tcW w:w="700" w:type="dxa"/>
            <w:tcMar>
              <w:top w:w="0" w:type="dxa"/>
              <w:bottom w:w="0" w:type="dxa"/>
            </w:tcMar>
            <w:vAlign w:val="center"/>
          </w:tcPr>
          <w:p w14:paraId="2FC508C3" w14:textId="77777777" w:rsidR="00A56A20" w:rsidRDefault="00000000">
            <w:pPr>
              <w:keepNext/>
              <w:keepLines/>
              <w:spacing w:after="0" w:line="240" w:lineRule="auto"/>
            </w:pPr>
            <w:r>
              <w:rPr>
                <w:sz w:val="18"/>
              </w:rPr>
              <w:t>3292</w:t>
            </w:r>
          </w:p>
        </w:tc>
        <w:tc>
          <w:tcPr>
            <w:tcW w:w="3180" w:type="dxa"/>
            <w:tcMar>
              <w:top w:w="0" w:type="dxa"/>
              <w:bottom w:w="0" w:type="dxa"/>
            </w:tcMar>
            <w:vAlign w:val="center"/>
          </w:tcPr>
          <w:p w14:paraId="34EDE793" w14:textId="77777777" w:rsidR="00A56A20" w:rsidRDefault="00000000">
            <w:pPr>
              <w:keepNext/>
              <w:keepLines/>
              <w:spacing w:after="0" w:line="240" w:lineRule="auto"/>
            </w:pPr>
            <w:r>
              <w:rPr>
                <w:sz w:val="18"/>
              </w:rPr>
              <w:t>Premije osiguranja</w:t>
            </w:r>
          </w:p>
        </w:tc>
        <w:tc>
          <w:tcPr>
            <w:tcW w:w="700" w:type="dxa"/>
            <w:tcMar>
              <w:top w:w="0" w:type="dxa"/>
              <w:bottom w:w="0" w:type="dxa"/>
            </w:tcMar>
            <w:vAlign w:val="center"/>
          </w:tcPr>
          <w:p w14:paraId="25D9B7DD" w14:textId="77777777" w:rsidR="00A56A20" w:rsidRDefault="00000000">
            <w:pPr>
              <w:keepNext/>
              <w:keepLines/>
              <w:spacing w:after="0" w:line="240" w:lineRule="auto"/>
            </w:pPr>
            <w:r>
              <w:rPr>
                <w:sz w:val="18"/>
              </w:rPr>
              <w:t>3292</w:t>
            </w:r>
          </w:p>
        </w:tc>
        <w:tc>
          <w:tcPr>
            <w:tcW w:w="1860" w:type="dxa"/>
            <w:tcMar>
              <w:top w:w="0" w:type="dxa"/>
              <w:bottom w:w="0" w:type="dxa"/>
            </w:tcMar>
            <w:vAlign w:val="center"/>
          </w:tcPr>
          <w:p w14:paraId="2C6F5B60" w14:textId="77777777" w:rsidR="00A56A20" w:rsidRDefault="00000000">
            <w:pPr>
              <w:keepNext/>
              <w:keepLines/>
              <w:spacing w:after="0" w:line="240" w:lineRule="auto"/>
              <w:jc w:val="right"/>
            </w:pPr>
            <w:r>
              <w:rPr>
                <w:sz w:val="18"/>
              </w:rPr>
              <w:t>389,58</w:t>
            </w:r>
          </w:p>
        </w:tc>
        <w:tc>
          <w:tcPr>
            <w:tcW w:w="1860" w:type="dxa"/>
            <w:tcMar>
              <w:top w:w="0" w:type="dxa"/>
              <w:bottom w:w="0" w:type="dxa"/>
            </w:tcMar>
            <w:vAlign w:val="center"/>
          </w:tcPr>
          <w:p w14:paraId="47112D4B" w14:textId="77777777" w:rsidR="00A56A20" w:rsidRDefault="00000000">
            <w:pPr>
              <w:keepNext/>
              <w:keepLines/>
              <w:spacing w:after="0" w:line="240" w:lineRule="auto"/>
              <w:jc w:val="right"/>
            </w:pPr>
            <w:r>
              <w:rPr>
                <w:sz w:val="18"/>
              </w:rPr>
              <w:t>816,84</w:t>
            </w:r>
          </w:p>
        </w:tc>
        <w:tc>
          <w:tcPr>
            <w:tcW w:w="700" w:type="dxa"/>
            <w:tcMar>
              <w:top w:w="0" w:type="dxa"/>
              <w:bottom w:w="0" w:type="dxa"/>
            </w:tcMar>
            <w:vAlign w:val="center"/>
          </w:tcPr>
          <w:p w14:paraId="790371A8" w14:textId="77777777" w:rsidR="00A56A20" w:rsidRDefault="00000000">
            <w:pPr>
              <w:keepNext/>
              <w:keepLines/>
              <w:spacing w:after="0" w:line="240" w:lineRule="auto"/>
              <w:jc w:val="right"/>
            </w:pPr>
            <w:r>
              <w:rPr>
                <w:sz w:val="18"/>
              </w:rPr>
              <w:t>209,7</w:t>
            </w:r>
          </w:p>
        </w:tc>
      </w:tr>
    </w:tbl>
    <w:p w14:paraId="7D787BEC" w14:textId="77777777" w:rsidR="00A56A20" w:rsidRDefault="00A56A20">
      <w:pPr>
        <w:spacing w:after="0"/>
      </w:pPr>
    </w:p>
    <w:p w14:paraId="12371029" w14:textId="77777777" w:rsidR="00A56A20" w:rsidRDefault="00000000">
      <w:r>
        <w:t>Premije osiguranja iznose 816,84 eura i  bilježe rast indeksa na 209,7 jer je trenutna  polica osiguranja duplo skuplja u odnosu na prethodnu policu osiguranja.</w:t>
      </w:r>
    </w:p>
    <w:p w14:paraId="6573BF72" w14:textId="77777777" w:rsidR="00A56A20" w:rsidRDefault="00A56A20"/>
    <w:p w14:paraId="24846E5A" w14:textId="77777777" w:rsidR="00A56A20"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BA349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A48CB"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173BE8"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21AE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AF1823"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3DD918"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BE5A85" w14:textId="77777777" w:rsidR="00A56A20" w:rsidRDefault="00000000">
            <w:pPr>
              <w:keepNext/>
              <w:keepLines/>
              <w:spacing w:after="0" w:line="240" w:lineRule="auto"/>
              <w:jc w:val="center"/>
            </w:pPr>
            <w:r>
              <w:rPr>
                <w:b/>
                <w:sz w:val="18"/>
              </w:rPr>
              <w:t>Indeks (%)</w:t>
            </w:r>
          </w:p>
        </w:tc>
      </w:tr>
      <w:tr w:rsidR="00A56A20" w14:paraId="09A247F4" w14:textId="77777777">
        <w:tblPrEx>
          <w:tblCellMar>
            <w:top w:w="0" w:type="dxa"/>
            <w:bottom w:w="0" w:type="dxa"/>
          </w:tblCellMar>
        </w:tblPrEx>
        <w:trPr>
          <w:cantSplit/>
          <w:trHeight w:val="560"/>
        </w:trPr>
        <w:tc>
          <w:tcPr>
            <w:tcW w:w="700" w:type="dxa"/>
            <w:tcMar>
              <w:top w:w="0" w:type="dxa"/>
              <w:bottom w:w="0" w:type="dxa"/>
            </w:tcMar>
            <w:vAlign w:val="center"/>
          </w:tcPr>
          <w:p w14:paraId="3256F57D" w14:textId="77777777" w:rsidR="00A56A20" w:rsidRDefault="00000000">
            <w:pPr>
              <w:keepNext/>
              <w:keepLines/>
              <w:spacing w:after="0" w:line="240" w:lineRule="auto"/>
            </w:pPr>
            <w:r>
              <w:rPr>
                <w:sz w:val="18"/>
              </w:rPr>
              <w:t>3295</w:t>
            </w:r>
          </w:p>
        </w:tc>
        <w:tc>
          <w:tcPr>
            <w:tcW w:w="3180" w:type="dxa"/>
            <w:tcMar>
              <w:top w:w="0" w:type="dxa"/>
              <w:bottom w:w="0" w:type="dxa"/>
            </w:tcMar>
            <w:vAlign w:val="center"/>
          </w:tcPr>
          <w:p w14:paraId="4D149CB1" w14:textId="77777777" w:rsidR="00A56A20" w:rsidRDefault="00000000">
            <w:pPr>
              <w:keepNext/>
              <w:keepLines/>
              <w:spacing w:after="0" w:line="240" w:lineRule="auto"/>
            </w:pPr>
            <w:r>
              <w:rPr>
                <w:sz w:val="18"/>
              </w:rPr>
              <w:t>Pristojbe i naknade</w:t>
            </w:r>
          </w:p>
        </w:tc>
        <w:tc>
          <w:tcPr>
            <w:tcW w:w="700" w:type="dxa"/>
            <w:tcMar>
              <w:top w:w="0" w:type="dxa"/>
              <w:bottom w:w="0" w:type="dxa"/>
            </w:tcMar>
            <w:vAlign w:val="center"/>
          </w:tcPr>
          <w:p w14:paraId="2ACC1BCD" w14:textId="77777777" w:rsidR="00A56A20" w:rsidRDefault="00000000">
            <w:pPr>
              <w:keepNext/>
              <w:keepLines/>
              <w:spacing w:after="0" w:line="240" w:lineRule="auto"/>
            </w:pPr>
            <w:r>
              <w:rPr>
                <w:sz w:val="18"/>
              </w:rPr>
              <w:t>3295</w:t>
            </w:r>
          </w:p>
        </w:tc>
        <w:tc>
          <w:tcPr>
            <w:tcW w:w="1860" w:type="dxa"/>
            <w:tcMar>
              <w:top w:w="0" w:type="dxa"/>
              <w:bottom w:w="0" w:type="dxa"/>
            </w:tcMar>
            <w:vAlign w:val="center"/>
          </w:tcPr>
          <w:p w14:paraId="735357B8" w14:textId="77777777" w:rsidR="00A56A20" w:rsidRDefault="00000000">
            <w:pPr>
              <w:keepNext/>
              <w:keepLines/>
              <w:spacing w:after="0" w:line="240" w:lineRule="auto"/>
              <w:jc w:val="right"/>
            </w:pPr>
            <w:r>
              <w:rPr>
                <w:sz w:val="18"/>
              </w:rPr>
              <w:t>31,86</w:t>
            </w:r>
          </w:p>
        </w:tc>
        <w:tc>
          <w:tcPr>
            <w:tcW w:w="1860" w:type="dxa"/>
            <w:tcMar>
              <w:top w:w="0" w:type="dxa"/>
              <w:bottom w:w="0" w:type="dxa"/>
            </w:tcMar>
            <w:vAlign w:val="center"/>
          </w:tcPr>
          <w:p w14:paraId="5F591C49" w14:textId="77777777" w:rsidR="00A56A20" w:rsidRDefault="00000000">
            <w:pPr>
              <w:keepNext/>
              <w:keepLines/>
              <w:spacing w:after="0" w:line="240" w:lineRule="auto"/>
              <w:jc w:val="right"/>
            </w:pPr>
            <w:r>
              <w:rPr>
                <w:sz w:val="18"/>
              </w:rPr>
              <w:t>45,13</w:t>
            </w:r>
          </w:p>
        </w:tc>
        <w:tc>
          <w:tcPr>
            <w:tcW w:w="700" w:type="dxa"/>
            <w:tcMar>
              <w:top w:w="0" w:type="dxa"/>
              <w:bottom w:w="0" w:type="dxa"/>
            </w:tcMar>
            <w:vAlign w:val="center"/>
          </w:tcPr>
          <w:p w14:paraId="789F12D4" w14:textId="77777777" w:rsidR="00A56A20" w:rsidRDefault="00000000">
            <w:pPr>
              <w:keepNext/>
              <w:keepLines/>
              <w:spacing w:after="0" w:line="240" w:lineRule="auto"/>
              <w:jc w:val="right"/>
            </w:pPr>
            <w:r>
              <w:rPr>
                <w:sz w:val="18"/>
              </w:rPr>
              <w:t>141,7</w:t>
            </w:r>
          </w:p>
        </w:tc>
      </w:tr>
    </w:tbl>
    <w:p w14:paraId="31AF15B6" w14:textId="77777777" w:rsidR="00A56A20" w:rsidRDefault="00A56A20">
      <w:pPr>
        <w:spacing w:after="0"/>
      </w:pPr>
    </w:p>
    <w:p w14:paraId="24E0B831" w14:textId="77777777" w:rsidR="00A56A20" w:rsidRDefault="00000000">
      <w:r>
        <w:t>Pristojbe i naknade iznose 45,13. Iako indeks bilježi rast na 141,7 radi se o beznačajnoj razlici od 13,27 eura za provjeru diplome.</w:t>
      </w:r>
    </w:p>
    <w:p w14:paraId="5C06F7CE" w14:textId="77777777" w:rsidR="00A56A20" w:rsidRDefault="00A56A20"/>
    <w:p w14:paraId="125D8908" w14:textId="77777777" w:rsidR="00A56A20"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4E4090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5EC0A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11FB8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BEFC4"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5A1E1A"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419481"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AD029" w14:textId="77777777" w:rsidR="00A56A20" w:rsidRDefault="00000000">
            <w:pPr>
              <w:keepNext/>
              <w:keepLines/>
              <w:spacing w:after="0" w:line="240" w:lineRule="auto"/>
              <w:jc w:val="center"/>
            </w:pPr>
            <w:r>
              <w:rPr>
                <w:b/>
                <w:sz w:val="18"/>
              </w:rPr>
              <w:t>Indeks (%)</w:t>
            </w:r>
          </w:p>
        </w:tc>
      </w:tr>
      <w:tr w:rsidR="00A56A20" w14:paraId="4ADF76D4" w14:textId="77777777">
        <w:tblPrEx>
          <w:tblCellMar>
            <w:top w:w="0" w:type="dxa"/>
            <w:bottom w:w="0" w:type="dxa"/>
          </w:tblCellMar>
        </w:tblPrEx>
        <w:trPr>
          <w:cantSplit/>
          <w:trHeight w:val="560"/>
        </w:trPr>
        <w:tc>
          <w:tcPr>
            <w:tcW w:w="700" w:type="dxa"/>
            <w:tcMar>
              <w:top w:w="0" w:type="dxa"/>
              <w:bottom w:w="0" w:type="dxa"/>
            </w:tcMar>
            <w:vAlign w:val="center"/>
          </w:tcPr>
          <w:p w14:paraId="1DFB509C" w14:textId="77777777" w:rsidR="00A56A20" w:rsidRDefault="00A56A20">
            <w:pPr>
              <w:keepNext/>
              <w:keepLines/>
              <w:spacing w:after="0" w:line="240" w:lineRule="auto"/>
            </w:pPr>
          </w:p>
        </w:tc>
        <w:tc>
          <w:tcPr>
            <w:tcW w:w="3180" w:type="dxa"/>
            <w:tcMar>
              <w:top w:w="0" w:type="dxa"/>
              <w:bottom w:w="0" w:type="dxa"/>
            </w:tcMar>
            <w:vAlign w:val="center"/>
          </w:tcPr>
          <w:p w14:paraId="4D502BA4" w14:textId="77777777" w:rsidR="00A56A20"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17A70A8C" w14:textId="77777777" w:rsidR="00A56A20" w:rsidRDefault="00000000">
            <w:pPr>
              <w:keepNext/>
              <w:keepLines/>
              <w:spacing w:after="0" w:line="240" w:lineRule="auto"/>
            </w:pPr>
            <w:r>
              <w:rPr>
                <w:sz w:val="18"/>
              </w:rPr>
              <w:t>Y001</w:t>
            </w:r>
          </w:p>
        </w:tc>
        <w:tc>
          <w:tcPr>
            <w:tcW w:w="1860" w:type="dxa"/>
            <w:tcMar>
              <w:top w:w="0" w:type="dxa"/>
              <w:bottom w:w="0" w:type="dxa"/>
            </w:tcMar>
            <w:vAlign w:val="center"/>
          </w:tcPr>
          <w:p w14:paraId="7E4C59C6" w14:textId="77777777" w:rsidR="00A56A20" w:rsidRDefault="00000000">
            <w:pPr>
              <w:keepNext/>
              <w:keepLines/>
              <w:spacing w:after="0" w:line="240" w:lineRule="auto"/>
              <w:jc w:val="right"/>
            </w:pPr>
            <w:r>
              <w:rPr>
                <w:sz w:val="18"/>
              </w:rPr>
              <w:t>106.023,49</w:t>
            </w:r>
          </w:p>
        </w:tc>
        <w:tc>
          <w:tcPr>
            <w:tcW w:w="1860" w:type="dxa"/>
            <w:tcMar>
              <w:top w:w="0" w:type="dxa"/>
              <w:bottom w:w="0" w:type="dxa"/>
            </w:tcMar>
            <w:vAlign w:val="center"/>
          </w:tcPr>
          <w:p w14:paraId="521CF49E" w14:textId="77777777" w:rsidR="00A56A20" w:rsidRDefault="00000000">
            <w:pPr>
              <w:keepNext/>
              <w:keepLines/>
              <w:spacing w:after="0" w:line="240" w:lineRule="auto"/>
              <w:jc w:val="right"/>
            </w:pPr>
            <w:r>
              <w:rPr>
                <w:sz w:val="18"/>
              </w:rPr>
              <w:t>4.453,42</w:t>
            </w:r>
          </w:p>
        </w:tc>
        <w:tc>
          <w:tcPr>
            <w:tcW w:w="700" w:type="dxa"/>
            <w:tcMar>
              <w:top w:w="0" w:type="dxa"/>
              <w:bottom w:w="0" w:type="dxa"/>
            </w:tcMar>
            <w:vAlign w:val="center"/>
          </w:tcPr>
          <w:p w14:paraId="3BE13C9F" w14:textId="77777777" w:rsidR="00A56A20" w:rsidRDefault="00000000">
            <w:pPr>
              <w:keepNext/>
              <w:keepLines/>
              <w:spacing w:after="0" w:line="240" w:lineRule="auto"/>
              <w:jc w:val="right"/>
            </w:pPr>
            <w:r>
              <w:rPr>
                <w:sz w:val="18"/>
              </w:rPr>
              <w:t>4,2</w:t>
            </w:r>
          </w:p>
        </w:tc>
      </w:tr>
    </w:tbl>
    <w:p w14:paraId="79DE7F66" w14:textId="77777777" w:rsidR="00A56A20" w:rsidRDefault="00A56A20">
      <w:pPr>
        <w:spacing w:after="0"/>
      </w:pPr>
    </w:p>
    <w:p w14:paraId="67CA6AD5" w14:textId="77777777" w:rsidR="00A56A20" w:rsidRDefault="00000000">
      <w:pPr>
        <w:jc w:val="both"/>
      </w:pPr>
      <w:r>
        <w:t>Manjak prihoda poslovanja iznosi 4.453,42 eura i bilježi veliki pad indeksa na 4,2 u odnosu na prethodnu godinu. Do velike razlike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godini.  Na taj način je u razdoblju od 01.01. do 31.03.2025. godine  evidentiran rashod za četiri plaće dok je u razdoblju od 01.01. do 31.03.2026. godine evidentiran rashod za tri plaće. To se odnosi na plaće koje se obračunavaju  putem COP-a i financiraju iz izvora tekućih pomoći proračunskim korisnicima iz proračuna koji im nije nadležan. Iz tog razloga je u istom izvještajnom razdoblju došlo i do većeg manjka prihoda poslovanja.</w:t>
      </w:r>
    </w:p>
    <w:p w14:paraId="5B71541B" w14:textId="77777777" w:rsidR="00A56A20" w:rsidRDefault="00A56A20"/>
    <w:p w14:paraId="25B46AC6" w14:textId="77777777" w:rsidR="00A56A20"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D4513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70F50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754292"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7AEE3"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CF7C1"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C99747"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BD7BD9" w14:textId="77777777" w:rsidR="00A56A20" w:rsidRDefault="00000000">
            <w:pPr>
              <w:keepNext/>
              <w:keepLines/>
              <w:spacing w:after="0" w:line="240" w:lineRule="auto"/>
              <w:jc w:val="center"/>
            </w:pPr>
            <w:r>
              <w:rPr>
                <w:b/>
                <w:sz w:val="18"/>
              </w:rPr>
              <w:t>Indeks (%)</w:t>
            </w:r>
          </w:p>
        </w:tc>
      </w:tr>
      <w:tr w:rsidR="00A56A20" w14:paraId="1370649E" w14:textId="77777777">
        <w:tblPrEx>
          <w:tblCellMar>
            <w:top w:w="0" w:type="dxa"/>
            <w:bottom w:w="0" w:type="dxa"/>
          </w:tblCellMar>
        </w:tblPrEx>
        <w:trPr>
          <w:cantSplit/>
          <w:trHeight w:val="560"/>
        </w:trPr>
        <w:tc>
          <w:tcPr>
            <w:tcW w:w="700" w:type="dxa"/>
            <w:tcMar>
              <w:top w:w="0" w:type="dxa"/>
              <w:bottom w:w="0" w:type="dxa"/>
            </w:tcMar>
            <w:vAlign w:val="center"/>
          </w:tcPr>
          <w:p w14:paraId="0E16068E" w14:textId="77777777" w:rsidR="00A56A20" w:rsidRDefault="00000000">
            <w:pPr>
              <w:keepNext/>
              <w:keepLines/>
              <w:spacing w:after="0" w:line="240" w:lineRule="auto"/>
            </w:pPr>
            <w:r>
              <w:rPr>
                <w:sz w:val="18"/>
              </w:rPr>
              <w:t>92221</w:t>
            </w:r>
          </w:p>
        </w:tc>
        <w:tc>
          <w:tcPr>
            <w:tcW w:w="3180" w:type="dxa"/>
            <w:tcMar>
              <w:top w:w="0" w:type="dxa"/>
              <w:bottom w:w="0" w:type="dxa"/>
            </w:tcMar>
            <w:vAlign w:val="center"/>
          </w:tcPr>
          <w:p w14:paraId="7E062FF4" w14:textId="77777777" w:rsidR="00A56A20"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4E6A9096" w14:textId="77777777" w:rsidR="00A56A20" w:rsidRDefault="00000000">
            <w:pPr>
              <w:keepNext/>
              <w:keepLines/>
              <w:spacing w:after="0" w:line="240" w:lineRule="auto"/>
            </w:pPr>
            <w:r>
              <w:rPr>
                <w:sz w:val="18"/>
              </w:rPr>
              <w:t>92221</w:t>
            </w:r>
          </w:p>
        </w:tc>
        <w:tc>
          <w:tcPr>
            <w:tcW w:w="1860" w:type="dxa"/>
            <w:tcMar>
              <w:top w:w="0" w:type="dxa"/>
              <w:bottom w:w="0" w:type="dxa"/>
            </w:tcMar>
            <w:vAlign w:val="center"/>
          </w:tcPr>
          <w:p w14:paraId="6939A886" w14:textId="77777777" w:rsidR="00A56A20" w:rsidRDefault="00000000">
            <w:pPr>
              <w:keepNext/>
              <w:keepLines/>
              <w:spacing w:after="0" w:line="240" w:lineRule="auto"/>
              <w:jc w:val="right"/>
            </w:pPr>
            <w:r>
              <w:rPr>
                <w:sz w:val="18"/>
              </w:rPr>
              <w:t>97.544,87</w:t>
            </w:r>
          </w:p>
        </w:tc>
        <w:tc>
          <w:tcPr>
            <w:tcW w:w="1860" w:type="dxa"/>
            <w:tcMar>
              <w:top w:w="0" w:type="dxa"/>
              <w:bottom w:w="0" w:type="dxa"/>
            </w:tcMar>
            <w:vAlign w:val="center"/>
          </w:tcPr>
          <w:p w14:paraId="64031B4E" w14:textId="77777777" w:rsidR="00A56A20" w:rsidRDefault="00000000">
            <w:pPr>
              <w:keepNext/>
              <w:keepLines/>
              <w:spacing w:after="0" w:line="240" w:lineRule="auto"/>
              <w:jc w:val="right"/>
            </w:pPr>
            <w:r>
              <w:rPr>
                <w:sz w:val="18"/>
              </w:rPr>
              <w:t>268.837,89</w:t>
            </w:r>
          </w:p>
        </w:tc>
        <w:tc>
          <w:tcPr>
            <w:tcW w:w="700" w:type="dxa"/>
            <w:tcMar>
              <w:top w:w="0" w:type="dxa"/>
              <w:bottom w:w="0" w:type="dxa"/>
            </w:tcMar>
            <w:vAlign w:val="center"/>
          </w:tcPr>
          <w:p w14:paraId="663B7E7D" w14:textId="77777777" w:rsidR="00A56A20" w:rsidRDefault="00000000">
            <w:pPr>
              <w:keepNext/>
              <w:keepLines/>
              <w:spacing w:after="0" w:line="240" w:lineRule="auto"/>
              <w:jc w:val="right"/>
            </w:pPr>
            <w:r>
              <w:rPr>
                <w:sz w:val="18"/>
              </w:rPr>
              <w:t>275,6</w:t>
            </w:r>
          </w:p>
        </w:tc>
      </w:tr>
    </w:tbl>
    <w:p w14:paraId="59D0C7C1" w14:textId="77777777" w:rsidR="00A56A20" w:rsidRDefault="00A56A20">
      <w:pPr>
        <w:spacing w:after="0"/>
      </w:pPr>
    </w:p>
    <w:p w14:paraId="398C2675" w14:textId="77777777" w:rsidR="00A56A20" w:rsidRDefault="00000000">
      <w:pPr>
        <w:jc w:val="both"/>
      </w:pPr>
      <w:r>
        <w:t>Manjak prihoda poslovanja - preneseni iznosi 268.837,89 eura i bilježi veliki rast indeksa na 275,6 u odnosu na prethodnu godinu. Do velike razlike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godini.  Tako je plaća za prosinac 2025. knjižena na konto rashoda i zbog toga se povećava preneseni manjak poslovanja (metodološki).</w:t>
      </w:r>
    </w:p>
    <w:p w14:paraId="50AC2D32" w14:textId="77777777" w:rsidR="00A56A20" w:rsidRDefault="00000000">
      <w:pPr>
        <w:jc w:val="both"/>
      </w:pPr>
      <w:r>
        <w:t xml:space="preserve">Važno je napomenuti da se radi isključivo o </w:t>
      </w:r>
      <w:proofErr w:type="spellStart"/>
      <w:r>
        <w:t>tzv</w:t>
      </w:r>
      <w:proofErr w:type="spellEnd"/>
      <w:r>
        <w:t xml:space="preserve"> metodološkom manjku jer su rashodi knjiženi su u prosincu 2025. godine, a prihod je evidentiran u siječnju 2026. godine prilikom plaćanja računa dobavljačima i knjiženja prihoda za plaće za prosinac 2025.</w:t>
      </w:r>
    </w:p>
    <w:p w14:paraId="784EB712" w14:textId="77777777" w:rsidR="00A56A20" w:rsidRDefault="00A56A20"/>
    <w:p w14:paraId="7ED21A8E" w14:textId="77777777" w:rsidR="00A56A20"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E19A6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1C4E0"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AB8FE"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97A62A"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CE7471"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56156E"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0D289" w14:textId="77777777" w:rsidR="00A56A20" w:rsidRDefault="00000000">
            <w:pPr>
              <w:keepNext/>
              <w:keepLines/>
              <w:spacing w:after="0" w:line="240" w:lineRule="auto"/>
              <w:jc w:val="center"/>
            </w:pPr>
            <w:r>
              <w:rPr>
                <w:b/>
                <w:sz w:val="18"/>
              </w:rPr>
              <w:t>Indeks (%)</w:t>
            </w:r>
          </w:p>
        </w:tc>
      </w:tr>
      <w:tr w:rsidR="00A56A20" w14:paraId="611AC68C" w14:textId="77777777">
        <w:tblPrEx>
          <w:tblCellMar>
            <w:top w:w="0" w:type="dxa"/>
            <w:bottom w:w="0" w:type="dxa"/>
          </w:tblCellMar>
        </w:tblPrEx>
        <w:trPr>
          <w:cantSplit/>
          <w:trHeight w:val="560"/>
        </w:trPr>
        <w:tc>
          <w:tcPr>
            <w:tcW w:w="700" w:type="dxa"/>
            <w:tcMar>
              <w:top w:w="0" w:type="dxa"/>
              <w:bottom w:w="0" w:type="dxa"/>
            </w:tcMar>
            <w:vAlign w:val="center"/>
          </w:tcPr>
          <w:p w14:paraId="591E79C0" w14:textId="77777777" w:rsidR="00A56A20" w:rsidRDefault="00000000">
            <w:pPr>
              <w:keepNext/>
              <w:keepLines/>
              <w:spacing w:after="0" w:line="240" w:lineRule="auto"/>
            </w:pPr>
            <w:r>
              <w:rPr>
                <w:sz w:val="18"/>
              </w:rPr>
              <w:t>96</w:t>
            </w:r>
          </w:p>
        </w:tc>
        <w:tc>
          <w:tcPr>
            <w:tcW w:w="3180" w:type="dxa"/>
            <w:tcMar>
              <w:top w:w="0" w:type="dxa"/>
              <w:bottom w:w="0" w:type="dxa"/>
            </w:tcMar>
            <w:vAlign w:val="center"/>
          </w:tcPr>
          <w:p w14:paraId="01319378" w14:textId="77777777" w:rsidR="00A56A20"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5F31877" w14:textId="77777777" w:rsidR="00A56A20" w:rsidRDefault="00000000">
            <w:pPr>
              <w:keepNext/>
              <w:keepLines/>
              <w:spacing w:after="0" w:line="240" w:lineRule="auto"/>
            </w:pPr>
            <w:r>
              <w:rPr>
                <w:sz w:val="18"/>
              </w:rPr>
              <w:t>96</w:t>
            </w:r>
          </w:p>
        </w:tc>
        <w:tc>
          <w:tcPr>
            <w:tcW w:w="1860" w:type="dxa"/>
            <w:tcMar>
              <w:top w:w="0" w:type="dxa"/>
              <w:bottom w:w="0" w:type="dxa"/>
            </w:tcMar>
            <w:vAlign w:val="center"/>
          </w:tcPr>
          <w:p w14:paraId="39FE7E13" w14:textId="77777777" w:rsidR="00A56A20" w:rsidRDefault="00000000">
            <w:pPr>
              <w:keepNext/>
              <w:keepLines/>
              <w:spacing w:after="0" w:line="240" w:lineRule="auto"/>
              <w:jc w:val="right"/>
            </w:pPr>
            <w:r>
              <w:rPr>
                <w:sz w:val="18"/>
              </w:rPr>
              <w:t>192.386,22</w:t>
            </w:r>
          </w:p>
        </w:tc>
        <w:tc>
          <w:tcPr>
            <w:tcW w:w="1860" w:type="dxa"/>
            <w:tcMar>
              <w:top w:w="0" w:type="dxa"/>
              <w:bottom w:w="0" w:type="dxa"/>
            </w:tcMar>
            <w:vAlign w:val="center"/>
          </w:tcPr>
          <w:p w14:paraId="733772F8" w14:textId="77777777" w:rsidR="00A56A20" w:rsidRDefault="00000000">
            <w:pPr>
              <w:keepNext/>
              <w:keepLines/>
              <w:spacing w:after="0" w:line="240" w:lineRule="auto"/>
              <w:jc w:val="right"/>
            </w:pPr>
            <w:r>
              <w:rPr>
                <w:sz w:val="18"/>
              </w:rPr>
              <w:t>231.138,94</w:t>
            </w:r>
          </w:p>
        </w:tc>
        <w:tc>
          <w:tcPr>
            <w:tcW w:w="700" w:type="dxa"/>
            <w:tcMar>
              <w:top w:w="0" w:type="dxa"/>
              <w:bottom w:w="0" w:type="dxa"/>
            </w:tcMar>
            <w:vAlign w:val="center"/>
          </w:tcPr>
          <w:p w14:paraId="31428CA8" w14:textId="77777777" w:rsidR="00A56A20" w:rsidRDefault="00000000">
            <w:pPr>
              <w:keepNext/>
              <w:keepLines/>
              <w:spacing w:after="0" w:line="240" w:lineRule="auto"/>
              <w:jc w:val="right"/>
            </w:pPr>
            <w:r>
              <w:rPr>
                <w:sz w:val="18"/>
              </w:rPr>
              <w:t>120,1</w:t>
            </w:r>
          </w:p>
        </w:tc>
      </w:tr>
    </w:tbl>
    <w:p w14:paraId="5B3FC791" w14:textId="77777777" w:rsidR="00A56A20" w:rsidRDefault="00A56A20">
      <w:pPr>
        <w:spacing w:after="0"/>
      </w:pPr>
    </w:p>
    <w:p w14:paraId="38D7F64B" w14:textId="77777777" w:rsidR="00A56A20" w:rsidRDefault="00000000">
      <w:pPr>
        <w:jc w:val="both"/>
      </w:pPr>
      <w:r>
        <w:t>Obračunati prihodi poslovanja nenaplaćeni iznose 231.138,94 i bilježe rast indeksa na 120,1 zato jer je na ovom kontu također knjižen i obračunati prihod za rashode ostvarene na projektu Erasmus+. Zbog drugačije metodologije knjiženja prihoda za EU projekte tijekom 2025. godine, u istom izvještajnom razdoblju prošle godine ovo potraživanje nije bilo evidentirano.</w:t>
      </w:r>
    </w:p>
    <w:p w14:paraId="5010754F" w14:textId="77777777" w:rsidR="00A56A20" w:rsidRDefault="00A56A20"/>
    <w:p w14:paraId="22713E47" w14:textId="77777777" w:rsidR="00A56A20"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361953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6EF6D1"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FFA5A3"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245D7"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E2AF7"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8301E7"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ECA8EC" w14:textId="77777777" w:rsidR="00A56A20" w:rsidRDefault="00000000">
            <w:pPr>
              <w:keepNext/>
              <w:keepLines/>
              <w:spacing w:after="0" w:line="240" w:lineRule="auto"/>
              <w:jc w:val="center"/>
            </w:pPr>
            <w:r>
              <w:rPr>
                <w:b/>
                <w:sz w:val="18"/>
              </w:rPr>
              <w:t>Indeks (%)</w:t>
            </w:r>
          </w:p>
        </w:tc>
      </w:tr>
      <w:tr w:rsidR="00A56A20" w14:paraId="0EC0C2BB" w14:textId="77777777">
        <w:tblPrEx>
          <w:tblCellMar>
            <w:top w:w="0" w:type="dxa"/>
            <w:bottom w:w="0" w:type="dxa"/>
          </w:tblCellMar>
        </w:tblPrEx>
        <w:trPr>
          <w:cantSplit/>
          <w:trHeight w:val="560"/>
        </w:trPr>
        <w:tc>
          <w:tcPr>
            <w:tcW w:w="700" w:type="dxa"/>
            <w:tcMar>
              <w:top w:w="0" w:type="dxa"/>
              <w:bottom w:w="0" w:type="dxa"/>
            </w:tcMar>
            <w:vAlign w:val="center"/>
          </w:tcPr>
          <w:p w14:paraId="04B0D93C" w14:textId="77777777" w:rsidR="00A56A20" w:rsidRDefault="00000000">
            <w:pPr>
              <w:keepNext/>
              <w:keepLines/>
              <w:spacing w:after="0" w:line="240" w:lineRule="auto"/>
            </w:pPr>
            <w:r>
              <w:rPr>
                <w:sz w:val="18"/>
              </w:rPr>
              <w:t>9661</w:t>
            </w:r>
          </w:p>
        </w:tc>
        <w:tc>
          <w:tcPr>
            <w:tcW w:w="3180" w:type="dxa"/>
            <w:tcMar>
              <w:top w:w="0" w:type="dxa"/>
              <w:bottom w:w="0" w:type="dxa"/>
            </w:tcMar>
            <w:vAlign w:val="center"/>
          </w:tcPr>
          <w:p w14:paraId="0F8A8CA5" w14:textId="77777777" w:rsidR="00A56A20"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5142521C" w14:textId="77777777" w:rsidR="00A56A20" w:rsidRDefault="00000000">
            <w:pPr>
              <w:keepNext/>
              <w:keepLines/>
              <w:spacing w:after="0" w:line="240" w:lineRule="auto"/>
            </w:pPr>
            <w:r>
              <w:rPr>
                <w:sz w:val="18"/>
              </w:rPr>
              <w:t>9661</w:t>
            </w:r>
          </w:p>
        </w:tc>
        <w:tc>
          <w:tcPr>
            <w:tcW w:w="1860" w:type="dxa"/>
            <w:tcMar>
              <w:top w:w="0" w:type="dxa"/>
              <w:bottom w:w="0" w:type="dxa"/>
            </w:tcMar>
            <w:vAlign w:val="center"/>
          </w:tcPr>
          <w:p w14:paraId="7854D08A" w14:textId="77777777" w:rsidR="00A56A20" w:rsidRDefault="00000000">
            <w:pPr>
              <w:keepNext/>
              <w:keepLines/>
              <w:spacing w:after="0" w:line="240" w:lineRule="auto"/>
              <w:jc w:val="right"/>
            </w:pPr>
            <w:r>
              <w:rPr>
                <w:sz w:val="18"/>
              </w:rPr>
              <w:t>65,00</w:t>
            </w:r>
          </w:p>
        </w:tc>
        <w:tc>
          <w:tcPr>
            <w:tcW w:w="1860" w:type="dxa"/>
            <w:tcMar>
              <w:top w:w="0" w:type="dxa"/>
              <w:bottom w:w="0" w:type="dxa"/>
            </w:tcMar>
            <w:vAlign w:val="center"/>
          </w:tcPr>
          <w:p w14:paraId="68D12C33" w14:textId="77777777" w:rsidR="00A56A20" w:rsidRDefault="00000000">
            <w:pPr>
              <w:keepNext/>
              <w:keepLines/>
              <w:spacing w:after="0" w:line="240" w:lineRule="auto"/>
              <w:jc w:val="right"/>
            </w:pPr>
            <w:r>
              <w:rPr>
                <w:sz w:val="18"/>
              </w:rPr>
              <w:t>8,00</w:t>
            </w:r>
          </w:p>
        </w:tc>
        <w:tc>
          <w:tcPr>
            <w:tcW w:w="700" w:type="dxa"/>
            <w:tcMar>
              <w:top w:w="0" w:type="dxa"/>
              <w:bottom w:w="0" w:type="dxa"/>
            </w:tcMar>
            <w:vAlign w:val="center"/>
          </w:tcPr>
          <w:p w14:paraId="3B999A49" w14:textId="77777777" w:rsidR="00A56A20" w:rsidRDefault="00000000">
            <w:pPr>
              <w:keepNext/>
              <w:keepLines/>
              <w:spacing w:after="0" w:line="240" w:lineRule="auto"/>
              <w:jc w:val="right"/>
            </w:pPr>
            <w:r>
              <w:rPr>
                <w:sz w:val="18"/>
              </w:rPr>
              <w:t>12,3</w:t>
            </w:r>
          </w:p>
        </w:tc>
      </w:tr>
    </w:tbl>
    <w:p w14:paraId="13FB3C1B" w14:textId="77777777" w:rsidR="00A56A20" w:rsidRDefault="00A56A20">
      <w:pPr>
        <w:spacing w:after="0"/>
      </w:pPr>
    </w:p>
    <w:p w14:paraId="283D85D1" w14:textId="77777777" w:rsidR="00A56A20" w:rsidRDefault="00000000">
      <w:r>
        <w:t xml:space="preserve">nenaplaćeni prihodi od prodaje proizvod </w:t>
      </w:r>
      <w:proofErr w:type="spellStart"/>
      <w:r>
        <w:t>aiznose</w:t>
      </w:r>
      <w:proofErr w:type="spellEnd"/>
      <w:r>
        <w:t xml:space="preserve"> 8,00 eura a odnose se na otkup starog papira. Iako indeks bilježi pad na 12,3, radi se o beznačajnoj razlici od 57,00 eura.</w:t>
      </w:r>
    </w:p>
    <w:p w14:paraId="5B436AA1" w14:textId="77777777" w:rsidR="00A56A20" w:rsidRDefault="00A56A20"/>
    <w:p w14:paraId="445E9C2C" w14:textId="77777777" w:rsidR="00A56A20"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66560F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A1D38"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FFA5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146F91"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8E6D8"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8CA5C9"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C10E81" w14:textId="77777777" w:rsidR="00A56A20" w:rsidRDefault="00000000">
            <w:pPr>
              <w:keepNext/>
              <w:keepLines/>
              <w:spacing w:after="0" w:line="240" w:lineRule="auto"/>
              <w:jc w:val="center"/>
            </w:pPr>
            <w:r>
              <w:rPr>
                <w:b/>
                <w:sz w:val="18"/>
              </w:rPr>
              <w:t>Indeks (%)</w:t>
            </w:r>
          </w:p>
        </w:tc>
      </w:tr>
      <w:tr w:rsidR="00A56A20" w14:paraId="1E8D0E68" w14:textId="77777777">
        <w:tblPrEx>
          <w:tblCellMar>
            <w:top w:w="0" w:type="dxa"/>
            <w:bottom w:w="0" w:type="dxa"/>
          </w:tblCellMar>
        </w:tblPrEx>
        <w:trPr>
          <w:cantSplit/>
          <w:trHeight w:val="560"/>
        </w:trPr>
        <w:tc>
          <w:tcPr>
            <w:tcW w:w="700" w:type="dxa"/>
            <w:tcMar>
              <w:top w:w="0" w:type="dxa"/>
              <w:bottom w:w="0" w:type="dxa"/>
            </w:tcMar>
            <w:vAlign w:val="center"/>
          </w:tcPr>
          <w:p w14:paraId="0E97DB26" w14:textId="77777777" w:rsidR="00A56A20" w:rsidRDefault="00000000">
            <w:pPr>
              <w:keepNext/>
              <w:keepLines/>
              <w:spacing w:after="0" w:line="240" w:lineRule="auto"/>
            </w:pPr>
            <w:r>
              <w:rPr>
                <w:sz w:val="18"/>
              </w:rPr>
              <w:t>4</w:t>
            </w:r>
          </w:p>
        </w:tc>
        <w:tc>
          <w:tcPr>
            <w:tcW w:w="3180" w:type="dxa"/>
            <w:tcMar>
              <w:top w:w="0" w:type="dxa"/>
              <w:bottom w:w="0" w:type="dxa"/>
            </w:tcMar>
            <w:vAlign w:val="center"/>
          </w:tcPr>
          <w:p w14:paraId="72BEF70D" w14:textId="77777777" w:rsidR="00A56A2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189B0C" w14:textId="77777777" w:rsidR="00A56A20" w:rsidRDefault="00000000">
            <w:pPr>
              <w:keepNext/>
              <w:keepLines/>
              <w:spacing w:after="0" w:line="240" w:lineRule="auto"/>
            </w:pPr>
            <w:r>
              <w:rPr>
                <w:sz w:val="18"/>
              </w:rPr>
              <w:t>4</w:t>
            </w:r>
          </w:p>
        </w:tc>
        <w:tc>
          <w:tcPr>
            <w:tcW w:w="1860" w:type="dxa"/>
            <w:tcMar>
              <w:top w:w="0" w:type="dxa"/>
              <w:bottom w:w="0" w:type="dxa"/>
            </w:tcMar>
            <w:vAlign w:val="center"/>
          </w:tcPr>
          <w:p w14:paraId="0200CF70" w14:textId="77777777" w:rsidR="00A56A20" w:rsidRDefault="00000000">
            <w:pPr>
              <w:keepNext/>
              <w:keepLines/>
              <w:spacing w:after="0" w:line="240" w:lineRule="auto"/>
              <w:jc w:val="right"/>
            </w:pPr>
            <w:r>
              <w:rPr>
                <w:sz w:val="18"/>
              </w:rPr>
              <w:t>898,00</w:t>
            </w:r>
          </w:p>
        </w:tc>
        <w:tc>
          <w:tcPr>
            <w:tcW w:w="1860" w:type="dxa"/>
            <w:tcMar>
              <w:top w:w="0" w:type="dxa"/>
              <w:bottom w:w="0" w:type="dxa"/>
            </w:tcMar>
            <w:vAlign w:val="center"/>
          </w:tcPr>
          <w:p w14:paraId="7422B860" w14:textId="77777777" w:rsidR="00A56A20" w:rsidRDefault="00000000">
            <w:pPr>
              <w:keepNext/>
              <w:keepLines/>
              <w:spacing w:after="0" w:line="240" w:lineRule="auto"/>
              <w:jc w:val="right"/>
            </w:pPr>
            <w:r>
              <w:rPr>
                <w:sz w:val="18"/>
              </w:rPr>
              <w:t>2.575,25</w:t>
            </w:r>
          </w:p>
        </w:tc>
        <w:tc>
          <w:tcPr>
            <w:tcW w:w="700" w:type="dxa"/>
            <w:tcMar>
              <w:top w:w="0" w:type="dxa"/>
              <w:bottom w:w="0" w:type="dxa"/>
            </w:tcMar>
            <w:vAlign w:val="center"/>
          </w:tcPr>
          <w:p w14:paraId="73084006" w14:textId="77777777" w:rsidR="00A56A20" w:rsidRDefault="00000000">
            <w:pPr>
              <w:keepNext/>
              <w:keepLines/>
              <w:spacing w:after="0" w:line="240" w:lineRule="auto"/>
              <w:jc w:val="right"/>
            </w:pPr>
            <w:r>
              <w:rPr>
                <w:sz w:val="18"/>
              </w:rPr>
              <w:t>286,8</w:t>
            </w:r>
          </w:p>
        </w:tc>
      </w:tr>
    </w:tbl>
    <w:p w14:paraId="246E78BC" w14:textId="77777777" w:rsidR="00A56A20" w:rsidRDefault="00A56A20">
      <w:pPr>
        <w:spacing w:after="0"/>
      </w:pPr>
    </w:p>
    <w:p w14:paraId="3D1A8CAE" w14:textId="77777777" w:rsidR="00A56A20" w:rsidRDefault="00000000">
      <w:pPr>
        <w:jc w:val="both"/>
      </w:pPr>
      <w:r>
        <w:t xml:space="preserve">Rashodi za nabavu nefinancijske imovine iznose 2.575,25 eura i bilježe rast indeksa na 286,8. U istom izvještajnom razdoblju prethodne godine nabavljena je informatička oprema u iznosu od 898,00 eura u </w:t>
      </w:r>
      <w:proofErr w:type="spellStart"/>
      <w:r>
        <w:t>u</w:t>
      </w:r>
      <w:proofErr w:type="spellEnd"/>
      <w:r>
        <w:t xml:space="preserve"> ovom izvještajnom razdoblju za nabavu opreme za video nadzor u školskoj sportskoj dvorani uloženo je 2.575,25 eura. Ostatak planiranih rashoda za nabavu nefinancijske imovine će se realizirati do kraja godine.</w:t>
      </w:r>
    </w:p>
    <w:p w14:paraId="3E93B485" w14:textId="77777777" w:rsidR="00A56A20" w:rsidRDefault="00A56A20"/>
    <w:p w14:paraId="43812CD4" w14:textId="77777777" w:rsidR="00A56A20"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5FB639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A1AB0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B794C"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92A34"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505AD"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279031"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D3998A" w14:textId="77777777" w:rsidR="00A56A20" w:rsidRDefault="00000000">
            <w:pPr>
              <w:keepNext/>
              <w:keepLines/>
              <w:spacing w:after="0" w:line="240" w:lineRule="auto"/>
              <w:jc w:val="center"/>
            </w:pPr>
            <w:r>
              <w:rPr>
                <w:b/>
                <w:sz w:val="18"/>
              </w:rPr>
              <w:t>Indeks (%)</w:t>
            </w:r>
          </w:p>
        </w:tc>
      </w:tr>
      <w:tr w:rsidR="00A56A20" w14:paraId="09F8374B" w14:textId="77777777">
        <w:tblPrEx>
          <w:tblCellMar>
            <w:top w:w="0" w:type="dxa"/>
            <w:bottom w:w="0" w:type="dxa"/>
          </w:tblCellMar>
        </w:tblPrEx>
        <w:trPr>
          <w:cantSplit/>
          <w:trHeight w:val="560"/>
        </w:trPr>
        <w:tc>
          <w:tcPr>
            <w:tcW w:w="700" w:type="dxa"/>
            <w:tcMar>
              <w:top w:w="0" w:type="dxa"/>
              <w:bottom w:w="0" w:type="dxa"/>
            </w:tcMar>
            <w:vAlign w:val="center"/>
          </w:tcPr>
          <w:p w14:paraId="6CBB1D80" w14:textId="77777777" w:rsidR="00A56A20" w:rsidRDefault="00000000">
            <w:pPr>
              <w:keepNext/>
              <w:keepLines/>
              <w:spacing w:after="0" w:line="240" w:lineRule="auto"/>
            </w:pPr>
            <w:r>
              <w:rPr>
                <w:sz w:val="18"/>
              </w:rPr>
              <w:t>4221</w:t>
            </w:r>
          </w:p>
        </w:tc>
        <w:tc>
          <w:tcPr>
            <w:tcW w:w="3180" w:type="dxa"/>
            <w:tcMar>
              <w:top w:w="0" w:type="dxa"/>
              <w:bottom w:w="0" w:type="dxa"/>
            </w:tcMar>
            <w:vAlign w:val="center"/>
          </w:tcPr>
          <w:p w14:paraId="6167A844" w14:textId="77777777" w:rsidR="00A56A20"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60AF20C7" w14:textId="77777777" w:rsidR="00A56A20" w:rsidRDefault="00000000">
            <w:pPr>
              <w:keepNext/>
              <w:keepLines/>
              <w:spacing w:after="0" w:line="240" w:lineRule="auto"/>
            </w:pPr>
            <w:r>
              <w:rPr>
                <w:sz w:val="18"/>
              </w:rPr>
              <w:t>4221</w:t>
            </w:r>
          </w:p>
        </w:tc>
        <w:tc>
          <w:tcPr>
            <w:tcW w:w="1860" w:type="dxa"/>
            <w:tcMar>
              <w:top w:w="0" w:type="dxa"/>
              <w:bottom w:w="0" w:type="dxa"/>
            </w:tcMar>
            <w:vAlign w:val="center"/>
          </w:tcPr>
          <w:p w14:paraId="39895799" w14:textId="77777777" w:rsidR="00A56A20" w:rsidRDefault="00000000">
            <w:pPr>
              <w:keepNext/>
              <w:keepLines/>
              <w:spacing w:after="0" w:line="240" w:lineRule="auto"/>
              <w:jc w:val="right"/>
            </w:pPr>
            <w:r>
              <w:rPr>
                <w:sz w:val="18"/>
              </w:rPr>
              <w:t>898,00</w:t>
            </w:r>
          </w:p>
        </w:tc>
        <w:tc>
          <w:tcPr>
            <w:tcW w:w="1860" w:type="dxa"/>
            <w:tcMar>
              <w:top w:w="0" w:type="dxa"/>
              <w:bottom w:w="0" w:type="dxa"/>
            </w:tcMar>
            <w:vAlign w:val="center"/>
          </w:tcPr>
          <w:p w14:paraId="64F2523C" w14:textId="77777777" w:rsidR="00A56A20" w:rsidRDefault="00000000">
            <w:pPr>
              <w:keepNext/>
              <w:keepLines/>
              <w:spacing w:after="0" w:line="240" w:lineRule="auto"/>
              <w:jc w:val="right"/>
            </w:pPr>
            <w:r>
              <w:rPr>
                <w:sz w:val="18"/>
              </w:rPr>
              <w:t>0,00</w:t>
            </w:r>
          </w:p>
        </w:tc>
        <w:tc>
          <w:tcPr>
            <w:tcW w:w="700" w:type="dxa"/>
            <w:tcMar>
              <w:top w:w="0" w:type="dxa"/>
              <w:bottom w:w="0" w:type="dxa"/>
            </w:tcMar>
            <w:vAlign w:val="center"/>
          </w:tcPr>
          <w:p w14:paraId="3F49B6D7" w14:textId="77777777" w:rsidR="00A56A20" w:rsidRDefault="00000000">
            <w:pPr>
              <w:keepNext/>
              <w:keepLines/>
              <w:spacing w:after="0" w:line="240" w:lineRule="auto"/>
              <w:jc w:val="right"/>
            </w:pPr>
            <w:r>
              <w:rPr>
                <w:sz w:val="18"/>
              </w:rPr>
              <w:t>0</w:t>
            </w:r>
          </w:p>
        </w:tc>
      </w:tr>
    </w:tbl>
    <w:p w14:paraId="126DDBEA" w14:textId="77777777" w:rsidR="00A56A20" w:rsidRDefault="00A56A20">
      <w:pPr>
        <w:spacing w:after="0"/>
      </w:pPr>
    </w:p>
    <w:p w14:paraId="1B9A652B" w14:textId="77777777" w:rsidR="00A56A20" w:rsidRDefault="00000000">
      <w:pPr>
        <w:jc w:val="both"/>
      </w:pPr>
      <w:r>
        <w:t>U ovom izvještajnom razdoblju nije bilo rashoda za uredsku opremu i namještaj. U istom izvještajnom razdoblju prethodne godine nabavljena je informatička oprema u iznosu od 898,00 eura. U Financijskom planu za 2026. godinu škola ima osigurana sredstva za nabavu uredske opreme i namještaja a nabava će se realizirati u drugoj polovici godine.</w:t>
      </w:r>
    </w:p>
    <w:p w14:paraId="0D27EF34" w14:textId="77777777" w:rsidR="00A56A20" w:rsidRDefault="00A56A20"/>
    <w:p w14:paraId="5010436E" w14:textId="77777777" w:rsidR="00A56A20"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7FF38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7ACE1"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AFE604"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7FCB9"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713CE"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CFB46F"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9BDB3" w14:textId="77777777" w:rsidR="00A56A20" w:rsidRDefault="00000000">
            <w:pPr>
              <w:keepNext/>
              <w:keepLines/>
              <w:spacing w:after="0" w:line="240" w:lineRule="auto"/>
              <w:jc w:val="center"/>
            </w:pPr>
            <w:r>
              <w:rPr>
                <w:b/>
                <w:sz w:val="18"/>
              </w:rPr>
              <w:t>Indeks (%)</w:t>
            </w:r>
          </w:p>
        </w:tc>
      </w:tr>
      <w:tr w:rsidR="00A56A20" w14:paraId="7C0371DF" w14:textId="77777777">
        <w:tblPrEx>
          <w:tblCellMar>
            <w:top w:w="0" w:type="dxa"/>
            <w:bottom w:w="0" w:type="dxa"/>
          </w:tblCellMar>
        </w:tblPrEx>
        <w:trPr>
          <w:cantSplit/>
          <w:trHeight w:val="560"/>
        </w:trPr>
        <w:tc>
          <w:tcPr>
            <w:tcW w:w="700" w:type="dxa"/>
            <w:tcMar>
              <w:top w:w="0" w:type="dxa"/>
              <w:bottom w:w="0" w:type="dxa"/>
            </w:tcMar>
            <w:vAlign w:val="center"/>
          </w:tcPr>
          <w:p w14:paraId="05244A27" w14:textId="77777777" w:rsidR="00A56A20" w:rsidRDefault="00000000">
            <w:pPr>
              <w:keepNext/>
              <w:keepLines/>
              <w:spacing w:after="0" w:line="240" w:lineRule="auto"/>
            </w:pPr>
            <w:r>
              <w:rPr>
                <w:sz w:val="18"/>
              </w:rPr>
              <w:t>4227</w:t>
            </w:r>
          </w:p>
        </w:tc>
        <w:tc>
          <w:tcPr>
            <w:tcW w:w="3180" w:type="dxa"/>
            <w:tcMar>
              <w:top w:w="0" w:type="dxa"/>
              <w:bottom w:w="0" w:type="dxa"/>
            </w:tcMar>
            <w:vAlign w:val="center"/>
          </w:tcPr>
          <w:p w14:paraId="5C3D5D88" w14:textId="77777777" w:rsidR="00A56A2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93A206B" w14:textId="77777777" w:rsidR="00A56A20" w:rsidRDefault="00000000">
            <w:pPr>
              <w:keepNext/>
              <w:keepLines/>
              <w:spacing w:after="0" w:line="240" w:lineRule="auto"/>
            </w:pPr>
            <w:r>
              <w:rPr>
                <w:sz w:val="18"/>
              </w:rPr>
              <w:t>4227</w:t>
            </w:r>
          </w:p>
        </w:tc>
        <w:tc>
          <w:tcPr>
            <w:tcW w:w="1860" w:type="dxa"/>
            <w:tcMar>
              <w:top w:w="0" w:type="dxa"/>
              <w:bottom w:w="0" w:type="dxa"/>
            </w:tcMar>
            <w:vAlign w:val="center"/>
          </w:tcPr>
          <w:p w14:paraId="05FA85F0" w14:textId="77777777" w:rsidR="00A56A20" w:rsidRDefault="00000000">
            <w:pPr>
              <w:keepNext/>
              <w:keepLines/>
              <w:spacing w:after="0" w:line="240" w:lineRule="auto"/>
              <w:jc w:val="right"/>
            </w:pPr>
            <w:r>
              <w:rPr>
                <w:sz w:val="18"/>
              </w:rPr>
              <w:t>0,00</w:t>
            </w:r>
          </w:p>
        </w:tc>
        <w:tc>
          <w:tcPr>
            <w:tcW w:w="1860" w:type="dxa"/>
            <w:tcMar>
              <w:top w:w="0" w:type="dxa"/>
              <w:bottom w:w="0" w:type="dxa"/>
            </w:tcMar>
            <w:vAlign w:val="center"/>
          </w:tcPr>
          <w:p w14:paraId="76F0EC3A" w14:textId="77777777" w:rsidR="00A56A20" w:rsidRDefault="00000000">
            <w:pPr>
              <w:keepNext/>
              <w:keepLines/>
              <w:spacing w:after="0" w:line="240" w:lineRule="auto"/>
              <w:jc w:val="right"/>
            </w:pPr>
            <w:r>
              <w:rPr>
                <w:sz w:val="18"/>
              </w:rPr>
              <w:t>2.575,25</w:t>
            </w:r>
          </w:p>
        </w:tc>
        <w:tc>
          <w:tcPr>
            <w:tcW w:w="700" w:type="dxa"/>
            <w:tcMar>
              <w:top w:w="0" w:type="dxa"/>
              <w:bottom w:w="0" w:type="dxa"/>
            </w:tcMar>
            <w:vAlign w:val="center"/>
          </w:tcPr>
          <w:p w14:paraId="13A35513" w14:textId="77777777" w:rsidR="00A56A20" w:rsidRDefault="00000000">
            <w:pPr>
              <w:keepNext/>
              <w:keepLines/>
              <w:spacing w:after="0" w:line="240" w:lineRule="auto"/>
              <w:jc w:val="right"/>
            </w:pPr>
            <w:r>
              <w:rPr>
                <w:sz w:val="18"/>
              </w:rPr>
              <w:t>-</w:t>
            </w:r>
          </w:p>
        </w:tc>
      </w:tr>
    </w:tbl>
    <w:p w14:paraId="2B346C27" w14:textId="77777777" w:rsidR="00A56A20" w:rsidRDefault="00A56A20">
      <w:pPr>
        <w:spacing w:after="0"/>
      </w:pPr>
    </w:p>
    <w:p w14:paraId="1525DCA0" w14:textId="77777777" w:rsidR="00A56A20" w:rsidRDefault="00000000">
      <w:r>
        <w:t>Rashodi za nabavu nefinancijske imovine iznose 2.575,25 eura a odnose se na nabavu opreme za video nadzor u školskoj sportskoj dvorani. U istom izvještajnom razdoblju prethodne godine nije bilo evidentiranih rashoda na ovom kontu.</w:t>
      </w:r>
    </w:p>
    <w:p w14:paraId="688DB266" w14:textId="77777777" w:rsidR="00A56A20" w:rsidRDefault="00A56A20"/>
    <w:p w14:paraId="1F01EFD0" w14:textId="77777777" w:rsidR="00A56A20"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39FD7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59C299"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8B3EBA"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2228F"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4C29B"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4A9B7D"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3BC275" w14:textId="77777777" w:rsidR="00A56A20" w:rsidRDefault="00000000">
            <w:pPr>
              <w:keepNext/>
              <w:keepLines/>
              <w:spacing w:after="0" w:line="240" w:lineRule="auto"/>
              <w:jc w:val="center"/>
            </w:pPr>
            <w:r>
              <w:rPr>
                <w:b/>
                <w:sz w:val="18"/>
              </w:rPr>
              <w:t>Indeks (%)</w:t>
            </w:r>
          </w:p>
        </w:tc>
      </w:tr>
      <w:tr w:rsidR="00A56A20" w14:paraId="6EE279DA" w14:textId="77777777">
        <w:tblPrEx>
          <w:tblCellMar>
            <w:top w:w="0" w:type="dxa"/>
            <w:bottom w:w="0" w:type="dxa"/>
          </w:tblCellMar>
        </w:tblPrEx>
        <w:trPr>
          <w:cantSplit/>
          <w:trHeight w:val="560"/>
        </w:trPr>
        <w:tc>
          <w:tcPr>
            <w:tcW w:w="700" w:type="dxa"/>
            <w:tcMar>
              <w:top w:w="0" w:type="dxa"/>
              <w:bottom w:w="0" w:type="dxa"/>
            </w:tcMar>
            <w:vAlign w:val="center"/>
          </w:tcPr>
          <w:p w14:paraId="4611766F" w14:textId="77777777" w:rsidR="00A56A20" w:rsidRDefault="00A56A20">
            <w:pPr>
              <w:keepNext/>
              <w:keepLines/>
              <w:spacing w:after="0" w:line="240" w:lineRule="auto"/>
            </w:pPr>
          </w:p>
        </w:tc>
        <w:tc>
          <w:tcPr>
            <w:tcW w:w="3180" w:type="dxa"/>
            <w:tcMar>
              <w:top w:w="0" w:type="dxa"/>
              <w:bottom w:w="0" w:type="dxa"/>
            </w:tcMar>
            <w:vAlign w:val="center"/>
          </w:tcPr>
          <w:p w14:paraId="26F96568" w14:textId="77777777" w:rsidR="00A56A20"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48B3FB88" w14:textId="77777777" w:rsidR="00A56A20" w:rsidRDefault="00000000">
            <w:pPr>
              <w:keepNext/>
              <w:keepLines/>
              <w:spacing w:after="0" w:line="240" w:lineRule="auto"/>
            </w:pPr>
            <w:r>
              <w:rPr>
                <w:sz w:val="18"/>
              </w:rPr>
              <w:t>Y002</w:t>
            </w:r>
          </w:p>
        </w:tc>
        <w:tc>
          <w:tcPr>
            <w:tcW w:w="1860" w:type="dxa"/>
            <w:tcMar>
              <w:top w:w="0" w:type="dxa"/>
              <w:bottom w:w="0" w:type="dxa"/>
            </w:tcMar>
            <w:vAlign w:val="center"/>
          </w:tcPr>
          <w:p w14:paraId="3BC56573" w14:textId="77777777" w:rsidR="00A56A20" w:rsidRDefault="00000000">
            <w:pPr>
              <w:keepNext/>
              <w:keepLines/>
              <w:spacing w:after="0" w:line="240" w:lineRule="auto"/>
              <w:jc w:val="right"/>
            </w:pPr>
            <w:r>
              <w:rPr>
                <w:sz w:val="18"/>
              </w:rPr>
              <w:t>898,00</w:t>
            </w:r>
          </w:p>
        </w:tc>
        <w:tc>
          <w:tcPr>
            <w:tcW w:w="1860" w:type="dxa"/>
            <w:tcMar>
              <w:top w:w="0" w:type="dxa"/>
              <w:bottom w:w="0" w:type="dxa"/>
            </w:tcMar>
            <w:vAlign w:val="center"/>
          </w:tcPr>
          <w:p w14:paraId="1ED1CCD6" w14:textId="77777777" w:rsidR="00A56A20" w:rsidRDefault="00000000">
            <w:pPr>
              <w:keepNext/>
              <w:keepLines/>
              <w:spacing w:after="0" w:line="240" w:lineRule="auto"/>
              <w:jc w:val="right"/>
            </w:pPr>
            <w:r>
              <w:rPr>
                <w:sz w:val="18"/>
              </w:rPr>
              <w:t>2.575,25</w:t>
            </w:r>
          </w:p>
        </w:tc>
        <w:tc>
          <w:tcPr>
            <w:tcW w:w="700" w:type="dxa"/>
            <w:tcMar>
              <w:top w:w="0" w:type="dxa"/>
              <w:bottom w:w="0" w:type="dxa"/>
            </w:tcMar>
            <w:vAlign w:val="center"/>
          </w:tcPr>
          <w:p w14:paraId="71AC0255" w14:textId="77777777" w:rsidR="00A56A20" w:rsidRDefault="00000000">
            <w:pPr>
              <w:keepNext/>
              <w:keepLines/>
              <w:spacing w:after="0" w:line="240" w:lineRule="auto"/>
              <w:jc w:val="right"/>
            </w:pPr>
            <w:r>
              <w:rPr>
                <w:sz w:val="18"/>
              </w:rPr>
              <w:t>286,8</w:t>
            </w:r>
          </w:p>
        </w:tc>
      </w:tr>
    </w:tbl>
    <w:p w14:paraId="01698D85" w14:textId="77777777" w:rsidR="00A56A20" w:rsidRDefault="00A56A20">
      <w:pPr>
        <w:spacing w:after="0"/>
      </w:pPr>
    </w:p>
    <w:p w14:paraId="4966DB64" w14:textId="77777777" w:rsidR="00A56A20" w:rsidRDefault="00000000">
      <w:r>
        <w:lastRenderedPageBreak/>
        <w:t>Manjak prihoda od nefinancijske imovine iznosi 2.575,25 eura jer je u tom iznosu nabavljena oprema za video nadzor u školskoj sportskoj dvorani  a u istom razdoblju nije ostvaren prihod od prodaje nefinancijske imovine.  </w:t>
      </w:r>
    </w:p>
    <w:p w14:paraId="09FB6E63" w14:textId="77777777" w:rsidR="00A56A20" w:rsidRDefault="00A56A20"/>
    <w:p w14:paraId="0DC68FDA" w14:textId="77777777" w:rsidR="00A56A20"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44756E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96767"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09FA7"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099D36"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10EC3"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02921"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36AC1B" w14:textId="77777777" w:rsidR="00A56A20" w:rsidRDefault="00000000">
            <w:pPr>
              <w:keepNext/>
              <w:keepLines/>
              <w:spacing w:after="0" w:line="240" w:lineRule="auto"/>
              <w:jc w:val="center"/>
            </w:pPr>
            <w:r>
              <w:rPr>
                <w:b/>
                <w:sz w:val="18"/>
              </w:rPr>
              <w:t>Indeks (%)</w:t>
            </w:r>
          </w:p>
        </w:tc>
      </w:tr>
      <w:tr w:rsidR="00A56A20" w14:paraId="347A4C7E" w14:textId="77777777">
        <w:tblPrEx>
          <w:tblCellMar>
            <w:top w:w="0" w:type="dxa"/>
            <w:bottom w:w="0" w:type="dxa"/>
          </w:tblCellMar>
        </w:tblPrEx>
        <w:trPr>
          <w:cantSplit/>
          <w:trHeight w:val="560"/>
        </w:trPr>
        <w:tc>
          <w:tcPr>
            <w:tcW w:w="700" w:type="dxa"/>
            <w:tcMar>
              <w:top w:w="0" w:type="dxa"/>
              <w:bottom w:w="0" w:type="dxa"/>
            </w:tcMar>
            <w:vAlign w:val="center"/>
          </w:tcPr>
          <w:p w14:paraId="6829D837" w14:textId="77777777" w:rsidR="00A56A20" w:rsidRDefault="00000000">
            <w:pPr>
              <w:keepNext/>
              <w:keepLines/>
              <w:spacing w:after="0" w:line="240" w:lineRule="auto"/>
            </w:pPr>
            <w:r>
              <w:rPr>
                <w:sz w:val="18"/>
              </w:rPr>
              <w:t>92222</w:t>
            </w:r>
          </w:p>
        </w:tc>
        <w:tc>
          <w:tcPr>
            <w:tcW w:w="3180" w:type="dxa"/>
            <w:tcMar>
              <w:top w:w="0" w:type="dxa"/>
              <w:bottom w:w="0" w:type="dxa"/>
            </w:tcMar>
            <w:vAlign w:val="center"/>
          </w:tcPr>
          <w:p w14:paraId="285892F8" w14:textId="77777777" w:rsidR="00A56A20"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690AF787" w14:textId="77777777" w:rsidR="00A56A20" w:rsidRDefault="00000000">
            <w:pPr>
              <w:keepNext/>
              <w:keepLines/>
              <w:spacing w:after="0" w:line="240" w:lineRule="auto"/>
            </w:pPr>
            <w:r>
              <w:rPr>
                <w:sz w:val="18"/>
              </w:rPr>
              <w:t>92222</w:t>
            </w:r>
          </w:p>
        </w:tc>
        <w:tc>
          <w:tcPr>
            <w:tcW w:w="1860" w:type="dxa"/>
            <w:tcMar>
              <w:top w:w="0" w:type="dxa"/>
              <w:bottom w:w="0" w:type="dxa"/>
            </w:tcMar>
            <w:vAlign w:val="center"/>
          </w:tcPr>
          <w:p w14:paraId="64C6E22A" w14:textId="77777777" w:rsidR="00A56A20" w:rsidRDefault="00000000">
            <w:pPr>
              <w:keepNext/>
              <w:keepLines/>
              <w:spacing w:after="0" w:line="240" w:lineRule="auto"/>
              <w:jc w:val="right"/>
            </w:pPr>
            <w:r>
              <w:rPr>
                <w:sz w:val="18"/>
              </w:rPr>
              <w:t>27.343,75</w:t>
            </w:r>
          </w:p>
        </w:tc>
        <w:tc>
          <w:tcPr>
            <w:tcW w:w="1860" w:type="dxa"/>
            <w:tcMar>
              <w:top w:w="0" w:type="dxa"/>
              <w:bottom w:w="0" w:type="dxa"/>
            </w:tcMar>
            <w:vAlign w:val="center"/>
          </w:tcPr>
          <w:p w14:paraId="3CDF4338" w14:textId="77777777" w:rsidR="00A56A20" w:rsidRDefault="00000000">
            <w:pPr>
              <w:keepNext/>
              <w:keepLines/>
              <w:spacing w:after="0" w:line="240" w:lineRule="auto"/>
              <w:jc w:val="right"/>
            </w:pPr>
            <w:r>
              <w:rPr>
                <w:sz w:val="18"/>
              </w:rPr>
              <w:t>2.650,79</w:t>
            </w:r>
          </w:p>
        </w:tc>
        <w:tc>
          <w:tcPr>
            <w:tcW w:w="700" w:type="dxa"/>
            <w:tcMar>
              <w:top w:w="0" w:type="dxa"/>
              <w:bottom w:w="0" w:type="dxa"/>
            </w:tcMar>
            <w:vAlign w:val="center"/>
          </w:tcPr>
          <w:p w14:paraId="5C228CA4" w14:textId="77777777" w:rsidR="00A56A20" w:rsidRDefault="00000000">
            <w:pPr>
              <w:keepNext/>
              <w:keepLines/>
              <w:spacing w:after="0" w:line="240" w:lineRule="auto"/>
              <w:jc w:val="right"/>
            </w:pPr>
            <w:r>
              <w:rPr>
                <w:sz w:val="18"/>
              </w:rPr>
              <w:t>9,7</w:t>
            </w:r>
          </w:p>
        </w:tc>
      </w:tr>
    </w:tbl>
    <w:p w14:paraId="52D53A3D" w14:textId="77777777" w:rsidR="00A56A20" w:rsidRDefault="00A56A20">
      <w:pPr>
        <w:spacing w:after="0"/>
      </w:pPr>
    </w:p>
    <w:p w14:paraId="59282667" w14:textId="77777777" w:rsidR="00A56A20" w:rsidRDefault="00000000">
      <w:r>
        <w:t>Preneseni manjak prihoda od nefinancijske imovine  iz prethodne godine  iznosi 2.650,79 eura a manjak će biti zatvoren Odlukom o raspodjeli rezultata za 2025. godinu.</w:t>
      </w:r>
    </w:p>
    <w:p w14:paraId="74561B00" w14:textId="77777777" w:rsidR="00A56A20" w:rsidRDefault="00A56A20"/>
    <w:p w14:paraId="2656CA2F" w14:textId="77777777" w:rsidR="00A56A20"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11E8D6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97383A"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54EA07"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A2EA08"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9066D"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8756A"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3D3A0D" w14:textId="77777777" w:rsidR="00A56A20" w:rsidRDefault="00000000">
            <w:pPr>
              <w:keepNext/>
              <w:keepLines/>
              <w:spacing w:after="0" w:line="240" w:lineRule="auto"/>
              <w:jc w:val="center"/>
            </w:pPr>
            <w:r>
              <w:rPr>
                <w:b/>
                <w:sz w:val="18"/>
              </w:rPr>
              <w:t>Indeks (%)</w:t>
            </w:r>
          </w:p>
        </w:tc>
      </w:tr>
      <w:tr w:rsidR="00A56A20" w14:paraId="2EDDAC63" w14:textId="77777777">
        <w:tblPrEx>
          <w:tblCellMar>
            <w:top w:w="0" w:type="dxa"/>
            <w:bottom w:w="0" w:type="dxa"/>
          </w:tblCellMar>
        </w:tblPrEx>
        <w:trPr>
          <w:cantSplit/>
          <w:trHeight w:val="560"/>
        </w:trPr>
        <w:tc>
          <w:tcPr>
            <w:tcW w:w="700" w:type="dxa"/>
            <w:tcMar>
              <w:top w:w="0" w:type="dxa"/>
              <w:bottom w:w="0" w:type="dxa"/>
            </w:tcMar>
            <w:vAlign w:val="center"/>
          </w:tcPr>
          <w:p w14:paraId="2C813991" w14:textId="77777777" w:rsidR="00A56A20" w:rsidRDefault="00A56A20">
            <w:pPr>
              <w:keepNext/>
              <w:keepLines/>
              <w:spacing w:after="0" w:line="240" w:lineRule="auto"/>
            </w:pPr>
          </w:p>
        </w:tc>
        <w:tc>
          <w:tcPr>
            <w:tcW w:w="3180" w:type="dxa"/>
            <w:tcMar>
              <w:top w:w="0" w:type="dxa"/>
              <w:bottom w:w="0" w:type="dxa"/>
            </w:tcMar>
            <w:vAlign w:val="center"/>
          </w:tcPr>
          <w:p w14:paraId="748A2D6A" w14:textId="77777777" w:rsidR="00A56A20"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73FD2F1F" w14:textId="77777777" w:rsidR="00A56A20" w:rsidRDefault="00000000">
            <w:pPr>
              <w:keepNext/>
              <w:keepLines/>
              <w:spacing w:after="0" w:line="240" w:lineRule="auto"/>
            </w:pPr>
            <w:r>
              <w:rPr>
                <w:sz w:val="18"/>
              </w:rPr>
              <w:t>Y004</w:t>
            </w:r>
          </w:p>
        </w:tc>
        <w:tc>
          <w:tcPr>
            <w:tcW w:w="1860" w:type="dxa"/>
            <w:tcMar>
              <w:top w:w="0" w:type="dxa"/>
              <w:bottom w:w="0" w:type="dxa"/>
            </w:tcMar>
            <w:vAlign w:val="center"/>
          </w:tcPr>
          <w:p w14:paraId="53059C97" w14:textId="77777777" w:rsidR="00A56A20" w:rsidRDefault="00000000">
            <w:pPr>
              <w:keepNext/>
              <w:keepLines/>
              <w:spacing w:after="0" w:line="240" w:lineRule="auto"/>
              <w:jc w:val="right"/>
            </w:pPr>
            <w:r>
              <w:rPr>
                <w:sz w:val="18"/>
              </w:rPr>
              <w:t>106.921,49</w:t>
            </w:r>
          </w:p>
        </w:tc>
        <w:tc>
          <w:tcPr>
            <w:tcW w:w="1860" w:type="dxa"/>
            <w:tcMar>
              <w:top w:w="0" w:type="dxa"/>
              <w:bottom w:w="0" w:type="dxa"/>
            </w:tcMar>
            <w:vAlign w:val="center"/>
          </w:tcPr>
          <w:p w14:paraId="19552F17" w14:textId="77777777" w:rsidR="00A56A20" w:rsidRDefault="00000000">
            <w:pPr>
              <w:keepNext/>
              <w:keepLines/>
              <w:spacing w:after="0" w:line="240" w:lineRule="auto"/>
              <w:jc w:val="right"/>
            </w:pPr>
            <w:r>
              <w:rPr>
                <w:sz w:val="18"/>
              </w:rPr>
              <w:t>7.028,67</w:t>
            </w:r>
          </w:p>
        </w:tc>
        <w:tc>
          <w:tcPr>
            <w:tcW w:w="700" w:type="dxa"/>
            <w:tcMar>
              <w:top w:w="0" w:type="dxa"/>
              <w:bottom w:w="0" w:type="dxa"/>
            </w:tcMar>
            <w:vAlign w:val="center"/>
          </w:tcPr>
          <w:p w14:paraId="73FC3DD9" w14:textId="77777777" w:rsidR="00A56A20" w:rsidRDefault="00000000">
            <w:pPr>
              <w:keepNext/>
              <w:keepLines/>
              <w:spacing w:after="0" w:line="240" w:lineRule="auto"/>
              <w:jc w:val="right"/>
            </w:pPr>
            <w:r>
              <w:rPr>
                <w:sz w:val="18"/>
              </w:rPr>
              <w:t>6,6</w:t>
            </w:r>
          </w:p>
        </w:tc>
      </w:tr>
    </w:tbl>
    <w:p w14:paraId="092B23DD" w14:textId="77777777" w:rsidR="00A56A20" w:rsidRDefault="00A56A20">
      <w:pPr>
        <w:spacing w:after="0"/>
      </w:pPr>
    </w:p>
    <w:p w14:paraId="570B9D37" w14:textId="77777777" w:rsidR="00A56A20" w:rsidRDefault="00000000">
      <w:pPr>
        <w:jc w:val="both"/>
      </w:pPr>
      <w:r>
        <w:t>U razdoblju od 01.01. do 31.03.2026. godine ostvareni su ukupni prihodi poslovanja u iznosu od 809.524,46 eura dok su u istom razdoblju ostvareni ukupni rashodi poslovanja u iznosu od 813.977,88  eura što dovodi do manjka prihoda poslovanja u iznosu od 4.453,42 eura.  U  razdoblju od 01.01. do 31.03.2026. godine ukupni rashodi za nabavu nefinancijske imovine   iznose 2.575,25 eura a u istom razdoblju nije bilo ostvarenih prihoda od prodaje nefinancijske imovine te stoga manjak prihoda od nefinancijske imovine iznosi 2.575,25 eura. U razdoblju od 01.01. do 31.03.2026. godine nije bilo ni primitaka ni izdataka od financijske imovine. Ukupan manjak  prihoda i primitaka, odnosno zbroj manjka prihoda poslovanja i manjka prihoda od nefinancijske imovine, za razdoblje od 01.01. do 31.03.2026. godine iznosi 7.028,67 eura.</w:t>
      </w:r>
    </w:p>
    <w:p w14:paraId="739B2F34" w14:textId="77777777" w:rsidR="00A56A20" w:rsidRDefault="00A56A20"/>
    <w:p w14:paraId="236ED122" w14:textId="77777777" w:rsidR="00A56A20"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02F1F4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9C6E9"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30D660"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CF2EB"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01D9A"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1C7D15"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743D5" w14:textId="77777777" w:rsidR="00A56A20" w:rsidRDefault="00000000">
            <w:pPr>
              <w:keepNext/>
              <w:keepLines/>
              <w:spacing w:after="0" w:line="240" w:lineRule="auto"/>
              <w:jc w:val="center"/>
            </w:pPr>
            <w:r>
              <w:rPr>
                <w:b/>
                <w:sz w:val="18"/>
              </w:rPr>
              <w:t>Indeks (%)</w:t>
            </w:r>
          </w:p>
        </w:tc>
      </w:tr>
      <w:tr w:rsidR="00A56A20" w14:paraId="6EF00B09" w14:textId="77777777">
        <w:tblPrEx>
          <w:tblCellMar>
            <w:top w:w="0" w:type="dxa"/>
            <w:bottom w:w="0" w:type="dxa"/>
          </w:tblCellMar>
        </w:tblPrEx>
        <w:trPr>
          <w:cantSplit/>
          <w:trHeight w:val="560"/>
        </w:trPr>
        <w:tc>
          <w:tcPr>
            <w:tcW w:w="700" w:type="dxa"/>
            <w:tcMar>
              <w:top w:w="0" w:type="dxa"/>
              <w:bottom w:w="0" w:type="dxa"/>
            </w:tcMar>
            <w:vAlign w:val="center"/>
          </w:tcPr>
          <w:p w14:paraId="173DE690" w14:textId="77777777" w:rsidR="00A56A20" w:rsidRDefault="00000000">
            <w:pPr>
              <w:keepNext/>
              <w:keepLines/>
              <w:spacing w:after="0" w:line="240" w:lineRule="auto"/>
            </w:pPr>
            <w:r>
              <w:rPr>
                <w:sz w:val="18"/>
              </w:rPr>
              <w:t>9221x, 9222x</w:t>
            </w:r>
          </w:p>
        </w:tc>
        <w:tc>
          <w:tcPr>
            <w:tcW w:w="3180" w:type="dxa"/>
            <w:tcMar>
              <w:top w:w="0" w:type="dxa"/>
              <w:bottom w:w="0" w:type="dxa"/>
            </w:tcMar>
            <w:vAlign w:val="center"/>
          </w:tcPr>
          <w:p w14:paraId="3CC2D2CB" w14:textId="77777777" w:rsidR="00A56A20"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191D943C" w14:textId="77777777" w:rsidR="00A56A20" w:rsidRDefault="00000000">
            <w:pPr>
              <w:keepNext/>
              <w:keepLines/>
              <w:spacing w:after="0" w:line="240" w:lineRule="auto"/>
            </w:pPr>
            <w:r>
              <w:rPr>
                <w:sz w:val="18"/>
              </w:rPr>
              <w:t>9221x,9222x MP</w:t>
            </w:r>
          </w:p>
        </w:tc>
        <w:tc>
          <w:tcPr>
            <w:tcW w:w="1860" w:type="dxa"/>
            <w:tcMar>
              <w:top w:w="0" w:type="dxa"/>
              <w:bottom w:w="0" w:type="dxa"/>
            </w:tcMar>
            <w:vAlign w:val="center"/>
          </w:tcPr>
          <w:p w14:paraId="1ECC7726" w14:textId="77777777" w:rsidR="00A56A20" w:rsidRDefault="00000000">
            <w:pPr>
              <w:keepNext/>
              <w:keepLines/>
              <w:spacing w:after="0" w:line="240" w:lineRule="auto"/>
              <w:jc w:val="right"/>
            </w:pPr>
            <w:r>
              <w:rPr>
                <w:sz w:val="18"/>
              </w:rPr>
              <w:t>124.888,62</w:t>
            </w:r>
          </w:p>
        </w:tc>
        <w:tc>
          <w:tcPr>
            <w:tcW w:w="1860" w:type="dxa"/>
            <w:tcMar>
              <w:top w:w="0" w:type="dxa"/>
              <w:bottom w:w="0" w:type="dxa"/>
            </w:tcMar>
            <w:vAlign w:val="center"/>
          </w:tcPr>
          <w:p w14:paraId="2503ACDF" w14:textId="77777777" w:rsidR="00A56A20" w:rsidRDefault="00000000">
            <w:pPr>
              <w:keepNext/>
              <w:keepLines/>
              <w:spacing w:after="0" w:line="240" w:lineRule="auto"/>
              <w:jc w:val="right"/>
            </w:pPr>
            <w:r>
              <w:rPr>
                <w:sz w:val="18"/>
              </w:rPr>
              <w:t>271.488,68</w:t>
            </w:r>
          </w:p>
        </w:tc>
        <w:tc>
          <w:tcPr>
            <w:tcW w:w="700" w:type="dxa"/>
            <w:tcMar>
              <w:top w:w="0" w:type="dxa"/>
              <w:bottom w:w="0" w:type="dxa"/>
            </w:tcMar>
            <w:vAlign w:val="center"/>
          </w:tcPr>
          <w:p w14:paraId="190BA61B" w14:textId="77777777" w:rsidR="00A56A20" w:rsidRDefault="00000000">
            <w:pPr>
              <w:keepNext/>
              <w:keepLines/>
              <w:spacing w:after="0" w:line="240" w:lineRule="auto"/>
              <w:jc w:val="right"/>
            </w:pPr>
            <w:r>
              <w:rPr>
                <w:sz w:val="18"/>
              </w:rPr>
              <w:t>217,4</w:t>
            </w:r>
          </w:p>
        </w:tc>
      </w:tr>
    </w:tbl>
    <w:p w14:paraId="09E43F13" w14:textId="77777777" w:rsidR="00A56A20" w:rsidRDefault="00A56A20">
      <w:pPr>
        <w:spacing w:after="0"/>
      </w:pPr>
    </w:p>
    <w:p w14:paraId="14547779" w14:textId="77777777" w:rsidR="00A56A20" w:rsidRDefault="00000000">
      <w:pPr>
        <w:jc w:val="both"/>
      </w:pPr>
      <w:r>
        <w:t xml:space="preserve">Preneseni manjak prihoda i primitaka iz prethodne godine  iznosi 271.488,68 eura.  Važno je napomenuti da se radi o metodološkom manjku te da je ovaj manjak nastao zbog metodologije knjiženja gdje se rashodi knjiže u trenutku nastanka rashoda  a prihodi u </w:t>
      </w:r>
      <w:r>
        <w:lastRenderedPageBreak/>
        <w:t>trenutku naplate računa ili knjiženja prihoda za plaće. Prihodi za pokriće metodološkog  manjka su uplaćeni već u siječnju  2026. godine, prilikom naplate računa te kad se proknjiže prihodi za plaće. </w:t>
      </w:r>
    </w:p>
    <w:p w14:paraId="07781FF2" w14:textId="77777777" w:rsidR="00A56A20" w:rsidRDefault="00000000">
      <w:pPr>
        <w:jc w:val="both"/>
      </w:pPr>
      <w:r>
        <w:t>Do velikog rasta indeksa na 217,4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godini.  Tako je rashod za plaću za prosinac 2025. godine proknjižen na konto rashoda te se time ujedno i značajno povećava preneseni manjak prihoda.</w:t>
      </w:r>
    </w:p>
    <w:p w14:paraId="266E493A" w14:textId="77777777" w:rsidR="00A56A20" w:rsidRDefault="00A56A20"/>
    <w:p w14:paraId="6FFC0664" w14:textId="77777777" w:rsidR="00A56A20"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56A20" w14:paraId="23A5DC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8E1FBE" w14:textId="77777777" w:rsidR="00A56A2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487C7" w14:textId="77777777" w:rsidR="00A56A2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9A945" w14:textId="77777777" w:rsidR="00A56A2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9F9CF2" w14:textId="77777777" w:rsidR="00A56A2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54EACC" w14:textId="77777777" w:rsidR="00A56A2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C069C0" w14:textId="77777777" w:rsidR="00A56A20" w:rsidRDefault="00000000">
            <w:pPr>
              <w:keepNext/>
              <w:keepLines/>
              <w:spacing w:after="0" w:line="240" w:lineRule="auto"/>
              <w:jc w:val="center"/>
            </w:pPr>
            <w:r>
              <w:rPr>
                <w:b/>
                <w:sz w:val="18"/>
              </w:rPr>
              <w:t>Indeks (%)</w:t>
            </w:r>
          </w:p>
        </w:tc>
      </w:tr>
      <w:tr w:rsidR="00A56A20" w14:paraId="44FDAD92" w14:textId="77777777">
        <w:tblPrEx>
          <w:tblCellMar>
            <w:top w:w="0" w:type="dxa"/>
            <w:bottom w:w="0" w:type="dxa"/>
          </w:tblCellMar>
        </w:tblPrEx>
        <w:trPr>
          <w:cantSplit/>
          <w:trHeight w:val="560"/>
        </w:trPr>
        <w:tc>
          <w:tcPr>
            <w:tcW w:w="700" w:type="dxa"/>
            <w:tcMar>
              <w:top w:w="0" w:type="dxa"/>
              <w:bottom w:w="0" w:type="dxa"/>
            </w:tcMar>
            <w:vAlign w:val="center"/>
          </w:tcPr>
          <w:p w14:paraId="2CFD1DCB" w14:textId="77777777" w:rsidR="00A56A20" w:rsidRDefault="00A56A20">
            <w:pPr>
              <w:keepNext/>
              <w:keepLines/>
              <w:spacing w:after="0" w:line="240" w:lineRule="auto"/>
            </w:pPr>
          </w:p>
        </w:tc>
        <w:tc>
          <w:tcPr>
            <w:tcW w:w="3180" w:type="dxa"/>
            <w:tcMar>
              <w:top w:w="0" w:type="dxa"/>
              <w:bottom w:w="0" w:type="dxa"/>
            </w:tcMar>
            <w:vAlign w:val="center"/>
          </w:tcPr>
          <w:p w14:paraId="056CADFF" w14:textId="77777777" w:rsidR="00A56A20"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55BBA6C" w14:textId="77777777" w:rsidR="00A56A20" w:rsidRDefault="00000000">
            <w:pPr>
              <w:keepNext/>
              <w:keepLines/>
              <w:spacing w:after="0" w:line="240" w:lineRule="auto"/>
            </w:pPr>
            <w:r>
              <w:rPr>
                <w:sz w:val="18"/>
              </w:rPr>
              <w:t>Y006</w:t>
            </w:r>
          </w:p>
        </w:tc>
        <w:tc>
          <w:tcPr>
            <w:tcW w:w="1860" w:type="dxa"/>
            <w:tcMar>
              <w:top w:w="0" w:type="dxa"/>
              <w:bottom w:w="0" w:type="dxa"/>
            </w:tcMar>
            <w:vAlign w:val="center"/>
          </w:tcPr>
          <w:p w14:paraId="1B0B9036" w14:textId="77777777" w:rsidR="00A56A20" w:rsidRDefault="00000000">
            <w:pPr>
              <w:keepNext/>
              <w:keepLines/>
              <w:spacing w:after="0" w:line="240" w:lineRule="auto"/>
              <w:jc w:val="right"/>
            </w:pPr>
            <w:r>
              <w:rPr>
                <w:sz w:val="18"/>
              </w:rPr>
              <w:t>231.810,11</w:t>
            </w:r>
          </w:p>
        </w:tc>
        <w:tc>
          <w:tcPr>
            <w:tcW w:w="1860" w:type="dxa"/>
            <w:tcMar>
              <w:top w:w="0" w:type="dxa"/>
              <w:bottom w:w="0" w:type="dxa"/>
            </w:tcMar>
            <w:vAlign w:val="center"/>
          </w:tcPr>
          <w:p w14:paraId="25A82C54" w14:textId="77777777" w:rsidR="00A56A20" w:rsidRDefault="00000000">
            <w:pPr>
              <w:keepNext/>
              <w:keepLines/>
              <w:spacing w:after="0" w:line="240" w:lineRule="auto"/>
              <w:jc w:val="right"/>
            </w:pPr>
            <w:r>
              <w:rPr>
                <w:sz w:val="18"/>
              </w:rPr>
              <w:t>278.517,35</w:t>
            </w:r>
          </w:p>
        </w:tc>
        <w:tc>
          <w:tcPr>
            <w:tcW w:w="700" w:type="dxa"/>
            <w:tcMar>
              <w:top w:w="0" w:type="dxa"/>
              <w:bottom w:w="0" w:type="dxa"/>
            </w:tcMar>
            <w:vAlign w:val="center"/>
          </w:tcPr>
          <w:p w14:paraId="3FB95BA5" w14:textId="77777777" w:rsidR="00A56A20" w:rsidRDefault="00000000">
            <w:pPr>
              <w:keepNext/>
              <w:keepLines/>
              <w:spacing w:after="0" w:line="240" w:lineRule="auto"/>
              <w:jc w:val="right"/>
            </w:pPr>
            <w:r>
              <w:rPr>
                <w:sz w:val="18"/>
              </w:rPr>
              <w:t>120,1</w:t>
            </w:r>
          </w:p>
        </w:tc>
      </w:tr>
    </w:tbl>
    <w:p w14:paraId="52F891B4" w14:textId="77777777" w:rsidR="00A56A20" w:rsidRDefault="00A56A20">
      <w:pPr>
        <w:spacing w:after="0"/>
      </w:pPr>
    </w:p>
    <w:p w14:paraId="24FA942A" w14:textId="77777777" w:rsidR="00A56A20" w:rsidRDefault="00000000">
      <w:pPr>
        <w:jc w:val="both"/>
      </w:pPr>
      <w:r>
        <w:t>U razdoblju od 01.01. do 31.03.2026. godine ostvareni su ukupni prihodi poslovanja u iznosu od 809.524,46 eura dok su u istom razdoblju ostvareni ukupni rashodi poslovanja u iznosu od 813.977,88  eura što dovodi do manjka prihoda poslovanja u iznosu od 4.453,42 eura.  U  razdoblju od 01.01. do 31.03.2026. godine ukupni rashodi za nabavu nefinancijske imovine   iznose 2.575,25 eura a u istom razdoblju nije bilo ostvarenih prihoda od prodaje nefinancijske imovine te stoga manjak prihoda od nefinancijske imovine iznosi 2.575,25 eura. U razdoblju od 01.01. do 31.03.2026. godine nije bilo ni primitaka ni izdataka od financijske imovine. Ukupan manjak  prihoda i primitaka, odnosno zbroj manjka prihoda poslovanja i manjka prihoda od nefinancijske imovine, za razdoblje od 01.01. do 31.03.2026. godine iznosi 7.028,67 eura.</w:t>
      </w:r>
    </w:p>
    <w:p w14:paraId="3C12C6B5" w14:textId="77777777" w:rsidR="00A56A20" w:rsidRDefault="00000000">
      <w:pPr>
        <w:jc w:val="both"/>
      </w:pPr>
      <w:r>
        <w:t>Preneseni manjak prihoda i primitaka iz prethodne godine  iznosi 271.488,68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uplaćeni već u siječnju  2026. godine, prilikom naplate računa te kad se proknjiže prihodi za plaće. Do velikog iznosa prenesenog manjka prihoda dolazi zbog  promjene metodologije knjiženja plaća. Plaća za prosinac 2024. godine proknjižena je 31.12.2024. samo na konto obveza te na konto 19311 – kontinuirani rashodi budućih razdoblja. Rashod za plaću za prosinac 2024. knjižen je na konto rashoda tek 02.01.2025. Počevši od 01.01.2025. godine, rashodi za plaće se  odmah po obračunu knjiže na konto rashoda, zadnji dan u mjesecu, za sve mjesece u godini.  Tako je rashod za plaću za prosinac 2025. godine proknjižen na konto rashoda te se time ujedno i značajno povećava preneseni manjak prihoda. </w:t>
      </w:r>
    </w:p>
    <w:p w14:paraId="375DD11E" w14:textId="77777777" w:rsidR="00A56A20" w:rsidRDefault="00000000">
      <w:pPr>
        <w:jc w:val="both"/>
      </w:pPr>
      <w:r>
        <w:lastRenderedPageBreak/>
        <w:t>Na ŠIFRI Y006 iskazan je ukupan manjak  prihoda i primitaka za razdoblje od 01.01. do 31.03.2026. godine u iznosu od 278.517,35 eura.  Važno je napomenuti da se radi o metodološkom manjku te da je ovaj manjak nastao zbog metodologije knjiženja gdje se rashodi knjiže u trenutku nastanka rashoda  a prihodi u trenutku naplate računa ili knjiženja prihoda za plaće. Prihodi za pokriće metodološkog  manjka su osigurani i realizirati će se već početkom travnja ove godine, prilikom naplate računa te kad se proknjiži prihod za plaće. Najveći dio manjka prihoda za ovo razdoblje odnosi se upravo na rashode za plaće jer je zbog promjene metodologije knjiženja, plaća za ožujak  proknjižena odmah na konto rashoda. Prethodnih godina, plaća za ožujak knjižena je samo na konto obveza te na konto 19311 – kontinuirani rashodi budućih razdoblja. </w:t>
      </w:r>
    </w:p>
    <w:p w14:paraId="252C2AB1" w14:textId="77777777" w:rsidR="00A56A20" w:rsidRDefault="00A56A20"/>
    <w:p w14:paraId="2A6E8405" w14:textId="77777777" w:rsidR="00A56A20" w:rsidRDefault="00000000">
      <w:pPr>
        <w:keepNext/>
        <w:spacing w:line="240" w:lineRule="auto"/>
        <w:jc w:val="center"/>
      </w:pPr>
      <w:r>
        <w:rPr>
          <w:sz w:val="28"/>
        </w:rPr>
        <w:t>Bilješka 44.</w:t>
      </w:r>
    </w:p>
    <w:p w14:paraId="6CCB84BD" w14:textId="77777777" w:rsidR="00A56A20" w:rsidRDefault="00000000">
      <w:pPr>
        <w:spacing w:line="240" w:lineRule="auto"/>
        <w:jc w:val="both"/>
      </w:pPr>
      <w:r>
        <w:rPr>
          <w:b/>
        </w:rPr>
        <w:t>EU izvještaj</w:t>
      </w:r>
    </w:p>
    <w:p w14:paraId="56B02718" w14:textId="77777777" w:rsidR="00A56A20" w:rsidRDefault="00000000">
      <w:r>
        <w:t> </w:t>
      </w:r>
    </w:p>
    <w:p w14:paraId="3ED894DE" w14:textId="77777777" w:rsidR="00A56A20" w:rsidRDefault="00000000">
      <w:r>
        <w:t>EU izvještaj po izvorima financiranja podnosi se za slijedeće izvore financiranja:</w:t>
      </w:r>
    </w:p>
    <w:p w14:paraId="15D3D7A0" w14:textId="77777777" w:rsidR="00A56A20" w:rsidRDefault="00000000">
      <w:r>
        <w:t>•         Izvor financiranja 510 - Programi unije</w:t>
      </w:r>
    </w:p>
    <w:p w14:paraId="7B03D9D5" w14:textId="77777777" w:rsidR="00A56A20" w:rsidRDefault="00000000">
      <w:r>
        <w:t>•         Izvor financiranja 561 - Europski socijalni fond plus </w:t>
      </w:r>
    </w:p>
    <w:p w14:paraId="5DC8AFDF" w14:textId="77777777" w:rsidR="00A56A20" w:rsidRDefault="00000000">
      <w:r>
        <w:t>•         Izvor Nacionalno sufinanciranje</w:t>
      </w:r>
    </w:p>
    <w:p w14:paraId="770FE2A3" w14:textId="77777777" w:rsidR="00A56A20" w:rsidRDefault="00000000">
      <w:r>
        <w:t> </w:t>
      </w:r>
    </w:p>
    <w:p w14:paraId="3776853F" w14:textId="77777777" w:rsidR="00A56A20" w:rsidRDefault="00000000">
      <w:r>
        <w:rPr>
          <w:b/>
        </w:rPr>
        <w:t>Izvor financiranja 510 - programi unije</w:t>
      </w:r>
    </w:p>
    <w:p w14:paraId="58E28971" w14:textId="77777777" w:rsidR="00A56A20" w:rsidRDefault="00000000">
      <w:r>
        <w:t xml:space="preserve">Unutar  izvora financiranja 510 - Programi unije provodi se projekt Erasmus+. Trenutni projekt traje u razdoblju od 01.06.2025. do 31.08.2026. godine. Škola je sklopila ugovor za bespovratna sredstva u iznosu od 52.120,00 eura. U lipnju 2025. godine škola je primila iznos predujma od 41.696,00 eura koji je evidentiran na kontu 27511. U prvom </w:t>
      </w:r>
      <w:proofErr w:type="spellStart"/>
      <w:r>
        <w:t>tromjesječju</w:t>
      </w:r>
      <w:proofErr w:type="spellEnd"/>
      <w:r>
        <w:t xml:space="preserve"> 2026. godine još nema evidentiranih prihoda na kontu 63811.  Ukupni rashodi projekta za razdoblje 01.01. do 31.03.2026. godine iznose  13.909,58 i odnose se na:</w:t>
      </w:r>
    </w:p>
    <w:p w14:paraId="05BF9FCD" w14:textId="77777777" w:rsidR="00A56A20" w:rsidRDefault="00000000">
      <w:r>
        <w:t>•         stručno usavršavanje zaposlenika (mobilnosti učitelja) u iznosu od 5.651,58 eura - konto 3213</w:t>
      </w:r>
    </w:p>
    <w:p w14:paraId="23623698" w14:textId="77777777" w:rsidR="00A56A20" w:rsidRDefault="00000000">
      <w:r>
        <w:t>•         naknade troškova osobama izvan radnog odnosa (mobilnosti učenika) u iznosu od 8.130,00 eura - konto 324</w:t>
      </w:r>
    </w:p>
    <w:p w14:paraId="09D524C3" w14:textId="77777777" w:rsidR="00A56A20" w:rsidRDefault="00000000">
      <w:r>
        <w:t>•         ostali nespomenuti rashodi poslovanja u iznosu od 128,00 eura - konto 3299.</w:t>
      </w:r>
    </w:p>
    <w:p w14:paraId="50F00184" w14:textId="77777777" w:rsidR="00A56A20" w:rsidRDefault="00000000">
      <w:pPr>
        <w:jc w:val="both"/>
      </w:pPr>
      <w:r>
        <w:t>Potraživanja za tekuće pomoći iz državnog proračuna temeljem prijenosa EU sredstava, na dan 31.03.2026.,  iznose 36.510,24 eura a odnose se na rashode projekta u razdoblju od 01.06. 2025. do 31.03.2026. godine.  Škola je u lipnju 2025. godine primila predujam u iznosu od 41.696,00 eura koji je evidentiran na kontu 27521 - Obveze za EU predujmove.  Ukupno ugovoreni iznos projekta iznosi 52.120,00 eura i evidentiran je na kontu 99171.</w:t>
      </w:r>
    </w:p>
    <w:p w14:paraId="2276F308" w14:textId="77777777" w:rsidR="00A56A20" w:rsidRDefault="00000000">
      <w:r>
        <w:rPr>
          <w:b/>
        </w:rPr>
        <w:lastRenderedPageBreak/>
        <w:t>Izvor financiranja 561 - Europski socijalni fond plus </w:t>
      </w:r>
    </w:p>
    <w:p w14:paraId="485637B9" w14:textId="77777777" w:rsidR="00A56A20" w:rsidRDefault="00000000">
      <w:r>
        <w:t>Iz izvora financiranja 561 financiraju se rashodi pomoćnika u nastavi u okviru projekta ODJEK VII – Odrastanje u jednakosti, Koprivnica. Ukupni prihvatljivi iznos troškova plaće po zaposlenom pomoćniku je  740,71 eura a 629,60 eura po pomoćniku se financira iz izvora 561. Trenutno je u školi zaposleno deset pomoćnika u nastavi. Ukupni prihodi iz ovog izvora, na dan 31.03.2026.,  evidentirani na kontu 6393 iznose 19.517,60 eura. Ukupni rashodi iz ovog izvora na dan 31.03.2026. iznose 19.517,60 eura i odnose se na plaće pomoćnika u nastavi, doprinose za obvezno zdravstveno osiguranje i naknade za prijevoz na posao. S obzirom da je u ovom izvještajnom razdoblju zaposleno dva pomoćnika u nastavi više, u odnosu na isto izvještajno razdoblje prethodne godine, dolazi do porasta i rashoda i prihoda za financiranje istih.</w:t>
      </w:r>
    </w:p>
    <w:p w14:paraId="2EA4886E" w14:textId="77777777" w:rsidR="00A56A20" w:rsidRDefault="00000000">
      <w:r>
        <w:rPr>
          <w:b/>
        </w:rPr>
        <w:t>Izvor financiranja - Nacionalno sufinanciranje</w:t>
      </w:r>
    </w:p>
    <w:p w14:paraId="79129DBA" w14:textId="77777777" w:rsidR="00A56A20" w:rsidRDefault="00000000">
      <w:pPr>
        <w:jc w:val="both"/>
      </w:pPr>
      <w:r>
        <w:t>Iz ovog izvora financiranja financiraju se rashodi projekta Školska shema voća i mlijeka te rashodi pomoćnika u nastavi u okviru projekta ODJEK VII - Odrastanje u jednakosti, Koprivnica. Ukupni prihvatljivi iznos troškova plaće po zaposlenom pomoćniku je  740,71 eura a 111,11 eura po pomoćniku se financira iz izvora nacionalno sufinanciranje. Trenutno je u školi zaposleno deset pomoćnika u nastavi. Ukupni rashodi za plaće, doprinose i prijevoz  pomoćnika u nastavi iznose 3.444,41 eura. Ukupni rashodi projekta Školska shema voća i mlijeka iznose 3.979,89 eura. Sveukupni rashodi financirani iz ovog izvora na dan 31.03.2026. iznose 7.424,30 eura. Ukupni prihodi iz ovog izvora financiranja evidentirani na kontu 6391 iznose 8.455,24 eura. S obzirom da je u ovom izvještajnom razdoblju zaposleno dva pomoćnika u nastavi više, u odnosu na isto izvještajno razdoblje prethodne godine, dolazi do porasta i rashoda i prihoda za financiranje istih.</w:t>
      </w:r>
    </w:p>
    <w:p w14:paraId="5A39EA7F" w14:textId="77777777" w:rsidR="00A56A20" w:rsidRDefault="00000000">
      <w:r>
        <w:t> </w:t>
      </w:r>
    </w:p>
    <w:p w14:paraId="7AE5E2C6" w14:textId="77777777" w:rsidR="00A56A20" w:rsidRDefault="00000000">
      <w:r>
        <w:t> </w:t>
      </w:r>
    </w:p>
    <w:p w14:paraId="6039C18F" w14:textId="77777777" w:rsidR="00A56A20" w:rsidRDefault="00A56A20"/>
    <w:sectPr w:rsidR="00A56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20"/>
    <w:rsid w:val="006E6DCF"/>
    <w:rsid w:val="00A56A20"/>
    <w:rsid w:val="00E923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61AD"/>
  <w15:docId w15:val="{94AF947D-EC13-472C-B1B3-7F581B6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5933</Words>
  <Characters>33824</Characters>
  <Application>Microsoft Office Word</Application>
  <DocSecurity>0</DocSecurity>
  <Lines>281</Lines>
  <Paragraphs>79</Paragraphs>
  <ScaleCrop>false</ScaleCrop>
  <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2026-04-15T13:08:00Z</cp:lastPrinted>
  <dcterms:created xsi:type="dcterms:W3CDTF">2026-04-15T13:08:00Z</dcterms:created>
  <dcterms:modified xsi:type="dcterms:W3CDTF">2026-04-15T13:08:00Z</dcterms:modified>
</cp:coreProperties>
</file>